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b/>
          <w:i/>
          <w:sz w:val="28"/>
          <w:lang w:val="en-US"/>
        </w:rPr>
      </w:pPr>
      <w:bookmarkStart w:id="0" w:name="_Hlt449016246"/>
      <w:bookmarkEnd w:id="0"/>
      <w:bookmarkStart w:id="1" w:name="_Hlt448930105"/>
      <w:bookmarkEnd w:id="1"/>
      <w:bookmarkStart w:id="2" w:name="_Hlt450066087"/>
      <w:bookmarkEnd w:id="2"/>
      <w:bookmarkStart w:id="3" w:name="_Hlt450051172"/>
      <w:bookmarkEnd w:id="3"/>
      <w:bookmarkStart w:id="4" w:name="_Hlt450039480"/>
      <w:bookmarkEnd w:id="4"/>
      <w:bookmarkStart w:id="5" w:name="_Hlt450066085"/>
      <w:bookmarkEnd w:id="5"/>
      <w:r>
        <w:rPr>
          <w:rFonts w:ascii="Arial" w:hAnsi="Arial" w:cs="Arial"/>
          <w:b/>
          <w:sz w:val="24"/>
          <w:szCs w:val="24"/>
        </w:rPr>
        <w:t>3GPP TSG-RAN WG4 Meeting #</w:t>
      </w:r>
      <w:r>
        <w:rPr>
          <w:rFonts w:ascii="Arial" w:hAnsi="Arial" w:eastAsia="宋体" w:cs="Arial"/>
          <w:b/>
          <w:sz w:val="24"/>
          <w:szCs w:val="24"/>
          <w:lang w:eastAsia="zh-CN"/>
        </w:rPr>
        <w:t>90</w:t>
      </w:r>
      <w:r>
        <w:rPr>
          <w:b/>
          <w:i/>
          <w:sz w:val="28"/>
        </w:rPr>
        <w:tab/>
      </w:r>
      <w:r>
        <w:rPr>
          <w:rFonts w:hint="eastAsia" w:eastAsia="宋体"/>
          <w:b/>
          <w:i/>
          <w:sz w:val="28"/>
          <w:lang w:val="en-US" w:eastAsia="zh-CN"/>
        </w:rPr>
        <w:t>R4-1</w:t>
      </w:r>
      <w:r>
        <w:rPr>
          <w:rFonts w:hint="eastAsia"/>
          <w:b/>
          <w:i/>
          <w:sz w:val="28"/>
          <w:lang w:val="en-US" w:eastAsia="zh-CN"/>
        </w:rPr>
        <w:t>90</w:t>
      </w:r>
      <w:r>
        <w:rPr>
          <w:rFonts w:hint="eastAsia"/>
          <w:b/>
          <w:i/>
          <w:sz w:val="28"/>
          <w:highlight w:val="none"/>
          <w:lang w:val="en-US" w:eastAsia="zh-CN"/>
        </w:rPr>
        <w:t xml:space="preserve">0562 </w:t>
      </w:r>
    </w:p>
    <w:p>
      <w:pPr>
        <w:pStyle w:val="78"/>
        <w:outlineLvl w:val="0"/>
        <w:rPr>
          <w:b/>
          <w:sz w:val="24"/>
        </w:rPr>
      </w:pPr>
      <w:r>
        <w:rPr>
          <w:rFonts w:ascii="Arial" w:hAnsi="Arial" w:eastAsia="宋体"/>
          <w:b/>
          <w:sz w:val="24"/>
          <w:szCs w:val="24"/>
          <w:lang w:eastAsia="zh-CN"/>
        </w:rPr>
        <w:t>Athens</w:t>
      </w:r>
      <w:r>
        <w:rPr>
          <w:rFonts w:hint="eastAsia" w:ascii="Arial" w:hAnsi="Arial" w:eastAsia="宋体"/>
          <w:b/>
          <w:sz w:val="24"/>
          <w:szCs w:val="24"/>
          <w:lang w:eastAsia="zh-CN"/>
        </w:rPr>
        <w:t xml:space="preserve">, </w:t>
      </w:r>
      <w:r>
        <w:rPr>
          <w:rFonts w:ascii="Arial" w:hAnsi="Arial" w:eastAsia="宋体"/>
          <w:b/>
          <w:sz w:val="24"/>
          <w:szCs w:val="24"/>
          <w:lang w:eastAsia="zh-CN"/>
        </w:rPr>
        <w:t>GR, 25</w:t>
      </w:r>
      <w:r>
        <w:rPr>
          <w:rFonts w:ascii="Arial" w:hAnsi="Arial" w:eastAsia="宋体"/>
          <w:b/>
          <w:sz w:val="24"/>
          <w:szCs w:val="24"/>
          <w:vertAlign w:val="superscript"/>
          <w:lang w:eastAsia="zh-CN"/>
        </w:rPr>
        <w:t xml:space="preserve">th </w:t>
      </w:r>
      <w:r>
        <w:rPr>
          <w:rFonts w:ascii="Arial" w:hAnsi="Arial" w:eastAsia="宋体"/>
          <w:b/>
          <w:sz w:val="24"/>
          <w:szCs w:val="24"/>
          <w:lang w:eastAsia="zh-CN"/>
        </w:rPr>
        <w:t xml:space="preserve"> Feb –</w:t>
      </w:r>
      <w:r>
        <w:rPr>
          <w:rFonts w:hint="eastAsia" w:ascii="Arial" w:hAnsi="Arial" w:eastAsia="宋体"/>
          <w:b/>
          <w:sz w:val="24"/>
          <w:szCs w:val="24"/>
          <w:lang w:eastAsia="zh-CN"/>
        </w:rPr>
        <w:t xml:space="preserve"> </w:t>
      </w:r>
      <w:r>
        <w:rPr>
          <w:rFonts w:ascii="Arial" w:hAnsi="Arial" w:eastAsia="宋体"/>
          <w:b/>
          <w:sz w:val="24"/>
          <w:szCs w:val="24"/>
          <w:lang w:eastAsia="zh-CN"/>
        </w:rPr>
        <w:t>1</w:t>
      </w:r>
      <w:r>
        <w:rPr>
          <w:rFonts w:ascii="Arial" w:hAnsi="Arial" w:eastAsia="宋体"/>
          <w:b/>
          <w:sz w:val="24"/>
          <w:szCs w:val="24"/>
          <w:vertAlign w:val="superscript"/>
          <w:lang w:eastAsia="zh-CN"/>
        </w:rPr>
        <w:t>st</w:t>
      </w:r>
      <w:r>
        <w:rPr>
          <w:rFonts w:ascii="Arial" w:hAnsi="Arial" w:eastAsia="宋体"/>
          <w:b/>
          <w:sz w:val="24"/>
          <w:szCs w:val="24"/>
          <w:lang w:eastAsia="zh-CN"/>
        </w:rPr>
        <w:t xml:space="preserve"> March, 2019</w:t>
      </w:r>
      <w:bookmarkStart w:id="25" w:name="_GoBack"/>
      <w:bookmarkEnd w:id="25"/>
    </w:p>
    <w:tbl>
      <w:tblPr>
        <w:tblStyle w:val="47"/>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PrEx>
        <w:tc>
          <w:tcPr>
            <w:tcW w:w="9641" w:type="dxa"/>
            <w:gridSpan w:val="9"/>
            <w:tcBorders>
              <w:top w:val="single" w:color="auto" w:sz="4" w:space="0"/>
              <w:left w:val="single" w:color="auto" w:sz="4" w:space="0"/>
              <w:right w:val="single" w:color="auto" w:sz="4" w:space="0"/>
            </w:tcBorders>
            <w:vAlign w:val="top"/>
          </w:tcPr>
          <w:p>
            <w:pPr>
              <w:pStyle w:val="78"/>
              <w:spacing w:after="0"/>
              <w:jc w:val="right"/>
              <w:rPr>
                <w:i/>
              </w:rPr>
            </w:pPr>
            <w:r>
              <w:rPr>
                <w:i/>
                <w:sz w:val="14"/>
              </w:rPr>
              <w:t>CR-Form-v11.2</w:t>
            </w:r>
          </w:p>
        </w:tc>
      </w:tr>
      <w:tr>
        <w:tblPrEx>
          <w:tblLayout w:type="fixed"/>
        </w:tblPrEx>
        <w:tc>
          <w:tcPr>
            <w:tcW w:w="9641" w:type="dxa"/>
            <w:gridSpan w:val="9"/>
            <w:tcBorders>
              <w:left w:val="single" w:color="auto" w:sz="4" w:space="0"/>
              <w:right w:val="single" w:color="auto" w:sz="4" w:space="0"/>
            </w:tcBorders>
            <w:vAlign w:val="top"/>
          </w:tcPr>
          <w:p>
            <w:pPr>
              <w:pStyle w:val="78"/>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vAlign w:val="top"/>
          </w:tcPr>
          <w:p>
            <w:pPr>
              <w:pStyle w:val="78"/>
              <w:spacing w:after="0"/>
              <w:rPr>
                <w:sz w:val="8"/>
                <w:szCs w:val="8"/>
              </w:rPr>
            </w:pPr>
          </w:p>
        </w:tc>
      </w:tr>
      <w:tr>
        <w:tblPrEx>
          <w:tblLayout w:type="fixed"/>
        </w:tblPrEx>
        <w:tc>
          <w:tcPr>
            <w:tcW w:w="142" w:type="dxa"/>
            <w:tcBorders>
              <w:left w:val="single" w:color="auto" w:sz="4" w:space="0"/>
            </w:tcBorders>
            <w:shd w:val="clear" w:color="auto" w:fill="auto"/>
            <w:vAlign w:val="top"/>
          </w:tcPr>
          <w:p>
            <w:pPr>
              <w:pStyle w:val="78"/>
              <w:spacing w:after="0"/>
              <w:jc w:val="right"/>
            </w:pPr>
          </w:p>
        </w:tc>
        <w:tc>
          <w:tcPr>
            <w:tcW w:w="2126" w:type="dxa"/>
            <w:shd w:val="pct30" w:color="FFFF00" w:fill="auto"/>
            <w:vAlign w:val="top"/>
          </w:tcPr>
          <w:p>
            <w:pPr>
              <w:pStyle w:val="78"/>
              <w:spacing w:after="0"/>
              <w:rPr>
                <w:b/>
                <w:sz w:val="28"/>
              </w:rPr>
            </w:pPr>
            <w:r>
              <w:rPr>
                <w:rFonts w:hint="eastAsia" w:eastAsia="宋体"/>
                <w:b/>
                <w:sz w:val="28"/>
                <w:lang w:val="en-US" w:eastAsia="zh-CN"/>
              </w:rPr>
              <w:t>TS38.113</w:t>
            </w:r>
          </w:p>
        </w:tc>
        <w:tc>
          <w:tcPr>
            <w:tcW w:w="709" w:type="dxa"/>
            <w:shd w:val="clear" w:color="auto" w:fill="auto"/>
            <w:vAlign w:val="top"/>
          </w:tcPr>
          <w:p>
            <w:pPr>
              <w:pStyle w:val="78"/>
              <w:spacing w:after="0"/>
              <w:jc w:val="center"/>
            </w:pPr>
            <w:r>
              <w:rPr>
                <w:b/>
                <w:sz w:val="28"/>
              </w:rPr>
              <w:t>CR</w:t>
            </w:r>
          </w:p>
        </w:tc>
        <w:tc>
          <w:tcPr>
            <w:tcW w:w="1276" w:type="dxa"/>
            <w:shd w:val="pct30" w:color="FFFF00" w:fill="auto"/>
            <w:vAlign w:val="top"/>
          </w:tcPr>
          <w:p>
            <w:pPr>
              <w:pStyle w:val="78"/>
              <w:spacing w:after="0"/>
            </w:pPr>
          </w:p>
        </w:tc>
        <w:tc>
          <w:tcPr>
            <w:tcW w:w="709" w:type="dxa"/>
            <w:shd w:val="clear" w:color="auto" w:fill="auto"/>
            <w:vAlign w:val="top"/>
          </w:tcPr>
          <w:p>
            <w:pPr>
              <w:pStyle w:val="78"/>
              <w:tabs>
                <w:tab w:val="right" w:pos="625"/>
              </w:tabs>
              <w:spacing w:after="0"/>
              <w:jc w:val="center"/>
            </w:pPr>
            <w:r>
              <w:rPr>
                <w:b/>
                <w:bCs/>
                <w:sz w:val="28"/>
              </w:rPr>
              <w:t>rev</w:t>
            </w:r>
          </w:p>
        </w:tc>
        <w:tc>
          <w:tcPr>
            <w:tcW w:w="425" w:type="dxa"/>
            <w:shd w:val="pct30" w:color="FFFF00" w:fill="auto"/>
            <w:vAlign w:val="top"/>
          </w:tcPr>
          <w:p>
            <w:pPr>
              <w:pStyle w:val="78"/>
              <w:spacing w:after="0"/>
              <w:jc w:val="center"/>
              <w:rPr>
                <w:b/>
              </w:rPr>
            </w:pPr>
            <w:r>
              <w:rPr>
                <w:b/>
                <w:sz w:val="32"/>
              </w:rPr>
              <w:t>-</w:t>
            </w:r>
          </w:p>
        </w:tc>
        <w:tc>
          <w:tcPr>
            <w:tcW w:w="2693" w:type="dxa"/>
            <w:shd w:val="clear" w:color="auto" w:fill="auto"/>
            <w:vAlign w:val="top"/>
          </w:tcPr>
          <w:p>
            <w:pPr>
              <w:pStyle w:val="78"/>
              <w:tabs>
                <w:tab w:val="right" w:pos="1825"/>
              </w:tabs>
              <w:spacing w:after="0"/>
              <w:jc w:val="center"/>
            </w:pPr>
            <w:r>
              <w:rPr>
                <w:b/>
                <w:sz w:val="28"/>
                <w:szCs w:val="28"/>
              </w:rPr>
              <w:t>Current version:</w:t>
            </w:r>
          </w:p>
        </w:tc>
        <w:tc>
          <w:tcPr>
            <w:tcW w:w="1418" w:type="dxa"/>
            <w:shd w:val="pct30" w:color="FFFF00" w:fill="auto"/>
            <w:vAlign w:val="top"/>
          </w:tcPr>
          <w:p>
            <w:pPr>
              <w:pStyle w:val="78"/>
              <w:spacing w:after="0"/>
              <w:jc w:val="center"/>
              <w:rPr>
                <w:rFonts w:hint="eastAsia" w:eastAsia="宋体"/>
                <w:lang w:eastAsia="zh-CN"/>
              </w:rPr>
            </w:pPr>
            <w:r>
              <w:rPr>
                <w:rFonts w:hint="eastAsia" w:eastAsia="宋体"/>
                <w:b/>
                <w:sz w:val="32"/>
                <w:lang w:val="en-US" w:eastAsia="zh-CN"/>
              </w:rPr>
              <w:t>15.</w:t>
            </w:r>
            <w:r>
              <w:rPr>
                <w:rFonts w:hint="eastAsia"/>
                <w:b/>
                <w:sz w:val="32"/>
                <w:lang w:val="en-US" w:eastAsia="zh-CN"/>
              </w:rPr>
              <w:t>4</w:t>
            </w:r>
            <w:r>
              <w:rPr>
                <w:rFonts w:hint="eastAsia" w:eastAsia="宋体"/>
                <w:b/>
                <w:sz w:val="32"/>
                <w:lang w:val="en-US" w:eastAsia="zh-CN"/>
              </w:rPr>
              <w:t>.0</w:t>
            </w:r>
          </w:p>
        </w:tc>
        <w:tc>
          <w:tcPr>
            <w:tcW w:w="143" w:type="dxa"/>
            <w:tcBorders>
              <w:right w:val="single" w:color="auto" w:sz="4" w:space="0"/>
            </w:tcBorders>
            <w:vAlign w:val="top"/>
          </w:tcPr>
          <w:p>
            <w:pPr>
              <w:pStyle w:val="78"/>
              <w:spacing w:after="0"/>
            </w:pPr>
          </w:p>
        </w:tc>
      </w:tr>
      <w:tr>
        <w:tblPrEx>
          <w:tblLayout w:type="fixed"/>
        </w:tblPrEx>
        <w:tc>
          <w:tcPr>
            <w:tcW w:w="9641" w:type="dxa"/>
            <w:gridSpan w:val="9"/>
            <w:tcBorders>
              <w:left w:val="single" w:color="auto" w:sz="4" w:space="0"/>
              <w:right w:val="single" w:color="auto" w:sz="4" w:space="0"/>
            </w:tcBorders>
            <w:vAlign w:val="top"/>
          </w:tcPr>
          <w:p>
            <w:pPr>
              <w:pStyle w:val="78"/>
              <w:spacing w:after="0"/>
            </w:pPr>
          </w:p>
        </w:tc>
      </w:tr>
      <w:tr>
        <w:tblPrEx>
          <w:tblLayout w:type="fixed"/>
        </w:tblPrEx>
        <w:tc>
          <w:tcPr>
            <w:tcW w:w="9641" w:type="dxa"/>
            <w:gridSpan w:val="9"/>
            <w:tcBorders>
              <w:top w:val="single" w:color="auto" w:sz="4" w:space="0"/>
            </w:tcBorders>
            <w:vAlign w:val="top"/>
          </w:tcPr>
          <w:p>
            <w:pPr>
              <w:pStyle w:val="78"/>
              <w:spacing w:after="0"/>
              <w:jc w:val="center"/>
              <w:rPr>
                <w:rFonts w:cs="Arial"/>
                <w:i/>
              </w:rPr>
            </w:pPr>
            <w:r>
              <w:rPr>
                <w:rFonts w:cs="Arial"/>
                <w:i/>
              </w:rPr>
              <w:t xml:space="preserve">For </w:t>
            </w:r>
            <w:r>
              <w:rPr>
                <w:rFonts w:cs="Arial"/>
                <w:b/>
                <w:i/>
                <w:color w:val="FF0000"/>
              </w:rPr>
              <w:fldChar w:fldCharType="begin"/>
            </w:r>
            <w:r>
              <w:rPr>
                <w:rFonts w:cs="Arial"/>
                <w:b/>
                <w:i/>
                <w:color w:val="FF0000"/>
              </w:rPr>
              <w:instrText xml:space="preserve">HYPERLINK "http://www.3gpp.org/3G_Specs/CRs.htm" \n </w:instrText>
            </w:r>
            <w:r>
              <w:rPr>
                <w:rFonts w:cs="Arial"/>
                <w:b/>
                <w:i/>
                <w:color w:val="FF0000"/>
              </w:rPr>
              <w:fldChar w:fldCharType="separate"/>
            </w:r>
            <w:r>
              <w:rPr>
                <w:rStyle w:val="44"/>
                <w:rFonts w:cs="Arial"/>
                <w:b/>
                <w:i/>
                <w:color w:val="FF0000"/>
              </w:rPr>
              <w:t>H</w:t>
            </w:r>
            <w:bookmarkStart w:id="6" w:name="_Hlt497798708"/>
            <w:bookmarkStart w:id="7" w:name="_Hlt497798707"/>
            <w:r>
              <w:rPr>
                <w:rStyle w:val="44"/>
                <w:rFonts w:cs="Arial"/>
                <w:b/>
                <w:i/>
                <w:color w:val="FF0000"/>
              </w:rPr>
              <w:t>E</w:t>
            </w:r>
            <w:bookmarkEnd w:id="6"/>
            <w:bookmarkEnd w:id="7"/>
            <w:bookmarkStart w:id="8" w:name="_Hlt497126619"/>
            <w:r>
              <w:rPr>
                <w:rStyle w:val="44"/>
                <w:rFonts w:cs="Arial"/>
                <w:b/>
                <w:i/>
                <w:color w:val="FF0000"/>
              </w:rPr>
              <w:t>L</w:t>
            </w:r>
            <w:bookmarkEnd w:id="8"/>
            <w:r>
              <w:rPr>
                <w:rStyle w:val="44"/>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Fonts w:cs="Arial"/>
                <w:i/>
              </w:rPr>
              <w:instrText xml:space="preserve">HYPERLINK "http://www.3gpp.org/Change-Requests"</w:instrText>
            </w:r>
            <w:r>
              <w:rPr>
                <w:rFonts w:cs="Arial"/>
                <w:i/>
              </w:rPr>
              <w:fldChar w:fldCharType="separate"/>
            </w:r>
            <w:r>
              <w:rPr>
                <w:rStyle w:val="44"/>
                <w:rFonts w:cs="Arial"/>
                <w:i/>
              </w:rPr>
              <w:t>http://www.3gpp.org/Change-Requests</w:t>
            </w:r>
            <w:r>
              <w:rPr>
                <w:rFonts w:cs="Arial"/>
                <w:i/>
              </w:rPr>
              <w:fldChar w:fldCharType="end"/>
            </w:r>
            <w:r>
              <w:rPr>
                <w:rFonts w:cs="Arial"/>
                <w:i/>
              </w:rPr>
              <w:t>.</w:t>
            </w:r>
          </w:p>
        </w:tc>
      </w:tr>
      <w:tr>
        <w:tblPrEx>
          <w:tblLayout w:type="fixed"/>
        </w:tblPrEx>
        <w:tc>
          <w:tcPr>
            <w:tcW w:w="9641" w:type="dxa"/>
            <w:gridSpan w:val="9"/>
            <w:vAlign w:val="top"/>
          </w:tcPr>
          <w:p>
            <w:pPr>
              <w:pStyle w:val="7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vAlign w:val="top"/>
          </w:tcPr>
          <w:p>
            <w:pPr>
              <w:pStyle w:val="78"/>
              <w:tabs>
                <w:tab w:val="right" w:pos="2751"/>
              </w:tabs>
              <w:spacing w:after="0"/>
              <w:rPr>
                <w:b/>
                <w:i/>
              </w:rPr>
            </w:pPr>
            <w:r>
              <w:rPr>
                <w:b/>
                <w:i/>
              </w:rPr>
              <w:t>Proposed change affects:</w:t>
            </w:r>
          </w:p>
        </w:tc>
        <w:tc>
          <w:tcPr>
            <w:tcW w:w="1418" w:type="dxa"/>
            <w:shd w:val="clear" w:color="auto" w:fill="auto"/>
            <w:vAlign w:val="top"/>
          </w:tcPr>
          <w:p>
            <w:pPr>
              <w:pStyle w:val="7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78"/>
              <w:spacing w:after="0"/>
              <w:jc w:val="center"/>
              <w:rPr>
                <w:b/>
                <w:caps/>
              </w:rPr>
            </w:pPr>
          </w:p>
        </w:tc>
        <w:tc>
          <w:tcPr>
            <w:tcW w:w="709" w:type="dxa"/>
            <w:tcBorders>
              <w:left w:val="single" w:color="auto" w:sz="4" w:space="0"/>
            </w:tcBorders>
            <w:shd w:val="clear" w:color="auto" w:fill="auto"/>
            <w:vAlign w:val="top"/>
          </w:tcPr>
          <w:p>
            <w:pPr>
              <w:pStyle w:val="7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78"/>
              <w:spacing w:after="0"/>
              <w:jc w:val="center"/>
              <w:rPr>
                <w:b/>
                <w:caps/>
              </w:rPr>
            </w:pPr>
          </w:p>
        </w:tc>
        <w:tc>
          <w:tcPr>
            <w:tcW w:w="2126" w:type="dxa"/>
            <w:shd w:val="clear" w:color="auto" w:fill="auto"/>
            <w:vAlign w:val="top"/>
          </w:tcPr>
          <w:p>
            <w:pPr>
              <w:pStyle w:val="7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78"/>
              <w:spacing w:after="0"/>
              <w:jc w:val="center"/>
              <w:rPr>
                <w:b/>
                <w:caps/>
              </w:rPr>
            </w:pPr>
            <w:r>
              <w:rPr>
                <w:b/>
                <w:caps/>
              </w:rPr>
              <w:t>X</w:t>
            </w:r>
          </w:p>
        </w:tc>
        <w:tc>
          <w:tcPr>
            <w:tcW w:w="1418" w:type="dxa"/>
            <w:tcBorders>
              <w:left w:val="nil"/>
            </w:tcBorders>
            <w:shd w:val="clear" w:color="auto" w:fill="auto"/>
            <w:vAlign w:val="top"/>
          </w:tcPr>
          <w:p>
            <w:pPr>
              <w:pStyle w:val="7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78"/>
              <w:spacing w:after="0"/>
              <w:jc w:val="center"/>
              <w:rPr>
                <w:b/>
                <w:bCs/>
                <w:caps/>
              </w:rPr>
            </w:pPr>
          </w:p>
        </w:tc>
      </w:tr>
    </w:tbl>
    <w:p>
      <w:pPr>
        <w:rPr>
          <w:sz w:val="8"/>
          <w:szCs w:val="8"/>
        </w:rPr>
      </w:pPr>
    </w:p>
    <w:tbl>
      <w:tblPr>
        <w:tblStyle w:val="47"/>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PrEx>
        <w:tc>
          <w:tcPr>
            <w:tcW w:w="9641" w:type="dxa"/>
            <w:gridSpan w:val="11"/>
            <w:vAlign w:val="top"/>
          </w:tcPr>
          <w:p>
            <w:pPr>
              <w:pStyle w:val="78"/>
              <w:spacing w:after="0"/>
              <w:rPr>
                <w:sz w:val="8"/>
                <w:szCs w:val="8"/>
              </w:rPr>
            </w:pPr>
          </w:p>
        </w:tc>
      </w:tr>
      <w:tr>
        <w:tblPrEx>
          <w:tblLayout w:type="fixed"/>
        </w:tblPrEx>
        <w:tc>
          <w:tcPr>
            <w:tcW w:w="1843" w:type="dxa"/>
            <w:tcBorders>
              <w:top w:val="single" w:color="auto" w:sz="4" w:space="0"/>
              <w:left w:val="single" w:color="auto" w:sz="4" w:space="0"/>
            </w:tcBorders>
            <w:shd w:val="clear" w:color="auto" w:fill="auto"/>
            <w:vAlign w:val="top"/>
          </w:tcPr>
          <w:p>
            <w:pPr>
              <w:pStyle w:val="78"/>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vAlign w:val="top"/>
          </w:tcPr>
          <w:p>
            <w:pPr>
              <w:pStyle w:val="78"/>
              <w:spacing w:after="0"/>
              <w:ind w:left="100"/>
            </w:pPr>
            <w:r>
              <w:rPr>
                <w:rFonts w:hint="eastAsia" w:eastAsia="宋体" w:cs="Arial"/>
                <w:lang w:val="en-US" w:eastAsia="zh-CN"/>
              </w:rPr>
              <w:t>Draft CR</w:t>
            </w:r>
            <w:r>
              <w:rPr>
                <w:rFonts w:cs="Arial"/>
              </w:rPr>
              <w:t xml:space="preserve"> </w:t>
            </w:r>
            <w:r>
              <w:rPr>
                <w:rFonts w:hint="eastAsia" w:eastAsia="宋体" w:cs="Arial"/>
                <w:lang w:val="en-US" w:eastAsia="zh-CN"/>
              </w:rPr>
              <w:t>to</w:t>
            </w:r>
            <w:r>
              <w:rPr>
                <w:rFonts w:cs="Arial"/>
              </w:rPr>
              <w:t xml:space="preserve"> TS 38.113</w:t>
            </w:r>
            <w:r>
              <w:rPr>
                <w:rFonts w:hint="eastAsia" w:cs="Arial"/>
                <w:lang w:val="en-US" w:eastAsia="zh-CN"/>
              </w:rPr>
              <w:t>: Symbol (subclause 3.2 , 4.4.2 and 8.2.1 )</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78"/>
              <w:spacing w:after="0"/>
              <w:rPr>
                <w:b/>
                <w:i/>
                <w:sz w:val="8"/>
                <w:szCs w:val="8"/>
              </w:rPr>
            </w:pPr>
          </w:p>
        </w:tc>
        <w:tc>
          <w:tcPr>
            <w:tcW w:w="7798" w:type="dxa"/>
            <w:gridSpan w:val="10"/>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78"/>
              <w:tabs>
                <w:tab w:val="right" w:pos="1759"/>
              </w:tabs>
              <w:spacing w:after="0"/>
              <w:rPr>
                <w:b/>
                <w:i/>
              </w:rPr>
            </w:pPr>
            <w:r>
              <w:rPr>
                <w:b/>
                <w:i/>
              </w:rPr>
              <w:t>Source to WG:</w:t>
            </w:r>
          </w:p>
        </w:tc>
        <w:tc>
          <w:tcPr>
            <w:tcW w:w="7798" w:type="dxa"/>
            <w:gridSpan w:val="10"/>
            <w:tcBorders>
              <w:right w:val="single" w:color="auto" w:sz="4" w:space="0"/>
            </w:tcBorders>
            <w:shd w:val="pct30" w:color="FFFF00" w:fill="auto"/>
            <w:vAlign w:val="top"/>
          </w:tcPr>
          <w:p>
            <w:pPr>
              <w:pStyle w:val="78"/>
              <w:spacing w:after="0"/>
              <w:ind w:left="100"/>
              <w:rPr>
                <w:rFonts w:hint="eastAsia" w:eastAsia="宋体"/>
                <w:lang w:val="en-US" w:eastAsia="zh-CN"/>
              </w:rPr>
            </w:pPr>
            <w:r>
              <w:rPr>
                <w:rFonts w:hint="eastAsia" w:eastAsia="宋体"/>
                <w:lang w:val="en-US" w:eastAsia="zh-CN"/>
              </w:rPr>
              <w:t>ZTE Corporation</w:t>
            </w:r>
          </w:p>
        </w:tc>
      </w:tr>
      <w:tr>
        <w:tblPrEx>
          <w:tblLayout w:type="fixed"/>
        </w:tblPrEx>
        <w:tc>
          <w:tcPr>
            <w:tcW w:w="1843" w:type="dxa"/>
            <w:tcBorders>
              <w:left w:val="single" w:color="auto" w:sz="4" w:space="0"/>
            </w:tcBorders>
            <w:shd w:val="clear" w:color="auto" w:fill="auto"/>
            <w:vAlign w:val="top"/>
          </w:tcPr>
          <w:p>
            <w:pPr>
              <w:pStyle w:val="78"/>
              <w:tabs>
                <w:tab w:val="right" w:pos="1759"/>
              </w:tabs>
              <w:spacing w:after="0"/>
              <w:rPr>
                <w:b/>
                <w:i/>
              </w:rPr>
            </w:pPr>
            <w:r>
              <w:rPr>
                <w:b/>
                <w:i/>
              </w:rPr>
              <w:t>Source to TSG:</w:t>
            </w:r>
          </w:p>
        </w:tc>
        <w:tc>
          <w:tcPr>
            <w:tcW w:w="7798" w:type="dxa"/>
            <w:gridSpan w:val="10"/>
            <w:tcBorders>
              <w:right w:val="single" w:color="auto" w:sz="4" w:space="0"/>
            </w:tcBorders>
            <w:shd w:val="pct30" w:color="FFFF00" w:fill="auto"/>
            <w:vAlign w:val="top"/>
          </w:tcPr>
          <w:p>
            <w:pPr>
              <w:pStyle w:val="78"/>
              <w:spacing w:after="0"/>
              <w:ind w:left="100"/>
              <w:rPr>
                <w:rFonts w:hint="eastAsia" w:eastAsia="宋体"/>
                <w:lang w:val="en-US" w:eastAsia="zh-CN"/>
              </w:rPr>
            </w:pPr>
            <w:r>
              <w:rPr>
                <w:rFonts w:hint="eastAsia" w:eastAsia="宋体"/>
                <w:lang w:val="en-US" w:eastAsia="zh-CN"/>
              </w:rPr>
              <w:t>R4</w:t>
            </w:r>
          </w:p>
        </w:tc>
      </w:tr>
      <w:tr>
        <w:tblPrEx>
          <w:tblLayout w:type="fixed"/>
        </w:tblPrEx>
        <w:tc>
          <w:tcPr>
            <w:tcW w:w="1843" w:type="dxa"/>
            <w:tcBorders>
              <w:left w:val="single" w:color="auto" w:sz="4" w:space="0"/>
            </w:tcBorders>
            <w:vAlign w:val="top"/>
          </w:tcPr>
          <w:p>
            <w:pPr>
              <w:pStyle w:val="78"/>
              <w:spacing w:after="0"/>
              <w:rPr>
                <w:b/>
                <w:i/>
                <w:sz w:val="8"/>
                <w:szCs w:val="8"/>
              </w:rPr>
            </w:pPr>
          </w:p>
        </w:tc>
        <w:tc>
          <w:tcPr>
            <w:tcW w:w="7798" w:type="dxa"/>
            <w:gridSpan w:val="10"/>
            <w:tcBorders>
              <w:right w:val="single" w:color="auto" w:sz="4" w:space="0"/>
            </w:tcBorders>
            <w:vAlign w:val="top"/>
          </w:tcPr>
          <w:p>
            <w:pPr>
              <w:pStyle w:val="78"/>
              <w:spacing w:after="0"/>
              <w:rPr>
                <w:sz w:val="8"/>
                <w:szCs w:val="8"/>
              </w:rPr>
            </w:pPr>
          </w:p>
        </w:tc>
      </w:tr>
      <w:tr>
        <w:tblPrEx>
          <w:tblLayout w:type="fixed"/>
        </w:tblPrEx>
        <w:tc>
          <w:tcPr>
            <w:tcW w:w="1843" w:type="dxa"/>
            <w:tcBorders>
              <w:left w:val="single" w:color="auto" w:sz="4" w:space="0"/>
            </w:tcBorders>
            <w:shd w:val="clear" w:color="auto" w:fill="auto"/>
            <w:vAlign w:val="top"/>
          </w:tcPr>
          <w:p>
            <w:pPr>
              <w:pStyle w:val="78"/>
              <w:tabs>
                <w:tab w:val="right" w:pos="1759"/>
              </w:tabs>
              <w:spacing w:after="0"/>
              <w:rPr>
                <w:b/>
                <w:i/>
              </w:rPr>
            </w:pPr>
            <w:r>
              <w:rPr>
                <w:b/>
                <w:i/>
              </w:rPr>
              <w:t>Work item code:</w:t>
            </w:r>
          </w:p>
        </w:tc>
        <w:tc>
          <w:tcPr>
            <w:tcW w:w="3260" w:type="dxa"/>
            <w:gridSpan w:val="5"/>
            <w:shd w:val="pct30" w:color="FFFF00" w:fill="auto"/>
            <w:vAlign w:val="top"/>
          </w:tcPr>
          <w:p>
            <w:pPr>
              <w:pStyle w:val="78"/>
              <w:spacing w:after="0"/>
              <w:ind w:left="100"/>
            </w:pPr>
            <w:r>
              <w:rPr>
                <w:rFonts w:cs="Arial"/>
                <w:sz w:val="21"/>
                <w:szCs w:val="21"/>
                <w:lang w:eastAsia="ja-JP"/>
              </w:rPr>
              <w:t>NR_newRAT</w:t>
            </w:r>
          </w:p>
        </w:tc>
        <w:tc>
          <w:tcPr>
            <w:tcW w:w="994" w:type="dxa"/>
            <w:gridSpan w:val="2"/>
            <w:tcBorders>
              <w:left w:val="nil"/>
            </w:tcBorders>
            <w:shd w:val="clear" w:color="auto" w:fill="auto"/>
            <w:vAlign w:val="top"/>
          </w:tcPr>
          <w:p>
            <w:pPr>
              <w:pStyle w:val="78"/>
              <w:spacing w:after="0"/>
              <w:ind w:right="100"/>
            </w:pPr>
          </w:p>
        </w:tc>
        <w:tc>
          <w:tcPr>
            <w:tcW w:w="1417" w:type="dxa"/>
            <w:gridSpan w:val="2"/>
            <w:tcBorders>
              <w:left w:val="nil"/>
            </w:tcBorders>
            <w:shd w:val="clear" w:color="auto" w:fill="auto"/>
            <w:vAlign w:val="top"/>
          </w:tcPr>
          <w:p>
            <w:pPr>
              <w:pStyle w:val="78"/>
              <w:spacing w:after="0"/>
              <w:jc w:val="right"/>
            </w:pPr>
            <w:r>
              <w:rPr>
                <w:b/>
                <w:i/>
              </w:rPr>
              <w:t>Date:</w:t>
            </w:r>
          </w:p>
        </w:tc>
        <w:tc>
          <w:tcPr>
            <w:tcW w:w="2127" w:type="dxa"/>
            <w:tcBorders>
              <w:right w:val="single" w:color="auto" w:sz="4" w:space="0"/>
            </w:tcBorders>
            <w:shd w:val="pct30" w:color="FFFF00" w:fill="auto"/>
            <w:vAlign w:val="top"/>
          </w:tcPr>
          <w:p>
            <w:pPr>
              <w:pStyle w:val="78"/>
              <w:spacing w:after="0"/>
              <w:ind w:left="100"/>
              <w:rPr>
                <w:rFonts w:hint="default"/>
                <w:lang w:val="en-US"/>
              </w:rPr>
            </w:pPr>
            <w:r>
              <w:rPr>
                <w:rFonts w:hint="eastAsia" w:eastAsia="宋体"/>
                <w:lang w:val="en-US" w:eastAsia="zh-CN"/>
              </w:rPr>
              <w:t>201</w:t>
            </w:r>
            <w:r>
              <w:rPr>
                <w:rFonts w:hint="eastAsia"/>
                <w:lang w:val="en-US" w:eastAsia="zh-CN"/>
              </w:rPr>
              <w:t>9</w:t>
            </w:r>
            <w:r>
              <w:t>-</w:t>
            </w:r>
            <w:r>
              <w:rPr>
                <w:rFonts w:hint="eastAsia"/>
                <w:lang w:val="en-US" w:eastAsia="zh-CN"/>
              </w:rPr>
              <w:t>02</w:t>
            </w:r>
            <w:r>
              <w:t>-</w:t>
            </w:r>
            <w:r>
              <w:rPr>
                <w:rFonts w:hint="eastAsia"/>
                <w:lang w:val="en-US" w:eastAsia="zh-CN"/>
              </w:rPr>
              <w:t>15</w:t>
            </w:r>
          </w:p>
        </w:tc>
      </w:tr>
      <w:tr>
        <w:tblPrEx>
          <w:tblLayout w:type="fixed"/>
        </w:tblPrEx>
        <w:tc>
          <w:tcPr>
            <w:tcW w:w="1843" w:type="dxa"/>
            <w:tcBorders>
              <w:left w:val="single" w:color="auto" w:sz="4" w:space="0"/>
            </w:tcBorders>
            <w:vAlign w:val="top"/>
          </w:tcPr>
          <w:p>
            <w:pPr>
              <w:pStyle w:val="78"/>
              <w:spacing w:after="0"/>
              <w:rPr>
                <w:b/>
                <w:i/>
                <w:sz w:val="8"/>
                <w:szCs w:val="8"/>
              </w:rPr>
            </w:pPr>
          </w:p>
        </w:tc>
        <w:tc>
          <w:tcPr>
            <w:tcW w:w="1560" w:type="dxa"/>
            <w:gridSpan w:val="4"/>
            <w:vAlign w:val="top"/>
          </w:tcPr>
          <w:p>
            <w:pPr>
              <w:pStyle w:val="78"/>
              <w:spacing w:after="0"/>
              <w:rPr>
                <w:sz w:val="8"/>
                <w:szCs w:val="8"/>
              </w:rPr>
            </w:pPr>
          </w:p>
        </w:tc>
        <w:tc>
          <w:tcPr>
            <w:tcW w:w="2694" w:type="dxa"/>
            <w:gridSpan w:val="3"/>
            <w:vAlign w:val="top"/>
          </w:tcPr>
          <w:p>
            <w:pPr>
              <w:pStyle w:val="78"/>
              <w:spacing w:after="0"/>
              <w:rPr>
                <w:sz w:val="8"/>
                <w:szCs w:val="8"/>
              </w:rPr>
            </w:pPr>
          </w:p>
        </w:tc>
        <w:tc>
          <w:tcPr>
            <w:tcW w:w="1417" w:type="dxa"/>
            <w:gridSpan w:val="2"/>
            <w:vAlign w:val="top"/>
          </w:tcPr>
          <w:p>
            <w:pPr>
              <w:pStyle w:val="78"/>
              <w:spacing w:after="0"/>
              <w:rPr>
                <w:sz w:val="8"/>
                <w:szCs w:val="8"/>
              </w:rPr>
            </w:pPr>
          </w:p>
        </w:tc>
        <w:tc>
          <w:tcPr>
            <w:tcW w:w="2127" w:type="dxa"/>
            <w:tcBorders>
              <w:right w:val="single" w:color="auto" w:sz="4" w:space="0"/>
            </w:tcBorders>
            <w:vAlign w:val="top"/>
          </w:tcPr>
          <w:p>
            <w:pPr>
              <w:pStyle w:val="78"/>
              <w:spacing w:after="0"/>
              <w:rPr>
                <w:sz w:val="8"/>
                <w:szCs w:val="8"/>
              </w:rPr>
            </w:pPr>
          </w:p>
        </w:tc>
      </w:tr>
      <w:tr>
        <w:tblPrEx>
          <w:tblLayout w:type="fixed"/>
        </w:tblPrEx>
        <w:trPr>
          <w:cantSplit/>
        </w:trPr>
        <w:tc>
          <w:tcPr>
            <w:tcW w:w="1843" w:type="dxa"/>
            <w:tcBorders>
              <w:left w:val="single" w:color="auto" w:sz="4" w:space="0"/>
            </w:tcBorders>
            <w:shd w:val="clear" w:color="auto" w:fill="auto"/>
            <w:vAlign w:val="top"/>
          </w:tcPr>
          <w:p>
            <w:pPr>
              <w:pStyle w:val="78"/>
              <w:tabs>
                <w:tab w:val="right" w:pos="1759"/>
              </w:tabs>
              <w:spacing w:after="0"/>
              <w:rPr>
                <w:b/>
                <w:i/>
              </w:rPr>
            </w:pPr>
            <w:r>
              <w:rPr>
                <w:b/>
                <w:i/>
              </w:rPr>
              <w:t>Category:</w:t>
            </w:r>
          </w:p>
        </w:tc>
        <w:tc>
          <w:tcPr>
            <w:tcW w:w="425" w:type="dxa"/>
            <w:shd w:val="pct30" w:color="FFFF00" w:fill="auto"/>
            <w:vAlign w:val="top"/>
          </w:tcPr>
          <w:p>
            <w:pPr>
              <w:pStyle w:val="78"/>
              <w:spacing w:after="0"/>
              <w:ind w:left="100"/>
              <w:rPr>
                <w:rFonts w:hint="eastAsia" w:eastAsia="宋体"/>
                <w:b/>
                <w:lang w:val="en-US" w:eastAsia="zh-CN"/>
              </w:rPr>
            </w:pPr>
            <w:r>
              <w:rPr>
                <w:rFonts w:hint="eastAsia" w:eastAsia="宋体"/>
                <w:b/>
                <w:lang w:val="en-US" w:eastAsia="zh-CN"/>
              </w:rPr>
              <w:t>F</w:t>
            </w:r>
          </w:p>
        </w:tc>
        <w:tc>
          <w:tcPr>
            <w:tcW w:w="3829" w:type="dxa"/>
            <w:gridSpan w:val="6"/>
            <w:tcBorders>
              <w:left w:val="nil"/>
            </w:tcBorders>
            <w:shd w:val="clear" w:color="auto" w:fill="auto"/>
            <w:vAlign w:val="top"/>
          </w:tcPr>
          <w:p>
            <w:pPr>
              <w:pStyle w:val="78"/>
              <w:spacing w:after="0"/>
            </w:pPr>
          </w:p>
        </w:tc>
        <w:tc>
          <w:tcPr>
            <w:tcW w:w="1417" w:type="dxa"/>
            <w:gridSpan w:val="2"/>
            <w:tcBorders>
              <w:left w:val="nil"/>
            </w:tcBorders>
            <w:shd w:val="clear" w:color="auto" w:fill="auto"/>
            <w:vAlign w:val="top"/>
          </w:tcPr>
          <w:p>
            <w:pPr>
              <w:pStyle w:val="78"/>
              <w:spacing w:after="0"/>
              <w:jc w:val="right"/>
              <w:rPr>
                <w:b/>
                <w:i/>
              </w:rPr>
            </w:pPr>
            <w:r>
              <w:rPr>
                <w:b/>
                <w:i/>
              </w:rPr>
              <w:t>Release:</w:t>
            </w:r>
          </w:p>
        </w:tc>
        <w:tc>
          <w:tcPr>
            <w:tcW w:w="2127" w:type="dxa"/>
            <w:tcBorders>
              <w:right w:val="single" w:color="auto" w:sz="4" w:space="0"/>
            </w:tcBorders>
            <w:shd w:val="pct30" w:color="FFFF00" w:fill="auto"/>
            <w:vAlign w:val="top"/>
          </w:tcPr>
          <w:p>
            <w:pPr>
              <w:pStyle w:val="78"/>
              <w:spacing w:after="0"/>
              <w:ind w:left="100"/>
            </w:pPr>
            <w:r>
              <w:t>Rel-</w:t>
            </w:r>
            <w:r>
              <w:rPr>
                <w:rFonts w:hint="eastAsia" w:eastAsia="宋体"/>
                <w:lang w:val="en-US" w:eastAsia="zh-CN"/>
              </w:rPr>
              <w:t>15</w:t>
            </w:r>
          </w:p>
        </w:tc>
      </w:tr>
      <w:tr>
        <w:tblPrEx>
          <w:tblLayout w:type="fixed"/>
        </w:tblPrEx>
        <w:tc>
          <w:tcPr>
            <w:tcW w:w="1843" w:type="dxa"/>
            <w:tcBorders>
              <w:left w:val="single" w:color="auto" w:sz="4" w:space="0"/>
              <w:bottom w:val="single" w:color="auto" w:sz="4" w:space="0"/>
            </w:tcBorders>
            <w:vAlign w:val="top"/>
          </w:tcPr>
          <w:p>
            <w:pPr>
              <w:pStyle w:val="78"/>
              <w:spacing w:after="0"/>
              <w:rPr>
                <w:b/>
                <w:i/>
              </w:rPr>
            </w:pPr>
          </w:p>
        </w:tc>
        <w:tc>
          <w:tcPr>
            <w:tcW w:w="4678" w:type="dxa"/>
            <w:gridSpan w:val="8"/>
            <w:tcBorders>
              <w:bottom w:val="single" w:color="auto" w:sz="4" w:space="0"/>
            </w:tcBorders>
            <w:vAlign w:val="top"/>
          </w:tcPr>
          <w:p>
            <w:pPr>
              <w:pStyle w:val="7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8"/>
            </w:pPr>
            <w:r>
              <w:rPr>
                <w:sz w:val="18"/>
              </w:rPr>
              <w:t>Detailed explanations of the above categories can</w:t>
            </w:r>
            <w:r>
              <w:rPr>
                <w:sz w:val="18"/>
              </w:rPr>
              <w:br w:type="textWrapping"/>
            </w:r>
            <w:r>
              <w:rPr>
                <w:sz w:val="18"/>
              </w:rPr>
              <w:t xml:space="preserve">be found in 3GPP </w:t>
            </w:r>
            <w:r>
              <w:rPr>
                <w:sz w:val="18"/>
              </w:rPr>
              <w:fldChar w:fldCharType="begin"/>
            </w:r>
            <w:r>
              <w:rPr>
                <w:sz w:val="18"/>
              </w:rPr>
              <w:instrText xml:space="preserve">HYPERLINK "http://www.3gpp.org/ftp/Specs/html-info/21900.htm"</w:instrText>
            </w:r>
            <w:r>
              <w:rPr>
                <w:sz w:val="18"/>
              </w:rPr>
              <w:fldChar w:fldCharType="separate"/>
            </w:r>
            <w:r>
              <w:rPr>
                <w:rStyle w:val="44"/>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7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9" w:name="OLE_LINK1"/>
            <w:r>
              <w:rPr>
                <w:i/>
                <w:sz w:val="18"/>
              </w:rPr>
              <w:t>Rel-13</w:t>
            </w:r>
            <w:r>
              <w:rPr>
                <w:i/>
                <w:sz w:val="18"/>
              </w:rPr>
              <w:tab/>
            </w:r>
            <w:r>
              <w:rPr>
                <w:i/>
                <w:sz w:val="18"/>
              </w:rPr>
              <w:t>(Release 13)</w:t>
            </w:r>
            <w:bookmarkEnd w:id="9"/>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vAlign w:val="top"/>
          </w:tcPr>
          <w:p>
            <w:pPr>
              <w:pStyle w:val="78"/>
              <w:spacing w:after="0"/>
              <w:rPr>
                <w:b/>
                <w:i/>
                <w:sz w:val="8"/>
                <w:szCs w:val="8"/>
              </w:rPr>
            </w:pPr>
          </w:p>
        </w:tc>
        <w:tc>
          <w:tcPr>
            <w:tcW w:w="7798" w:type="dxa"/>
            <w:gridSpan w:val="10"/>
            <w:vAlign w:val="top"/>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vAlign w:val="top"/>
          </w:tcPr>
          <w:p>
            <w:pPr>
              <w:pStyle w:val="78"/>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vAlign w:val="top"/>
          </w:tcPr>
          <w:p>
            <w:pPr>
              <w:pStyle w:val="78"/>
              <w:spacing w:after="0"/>
              <w:ind w:left="100"/>
              <w:rPr>
                <w:rFonts w:hint="eastAsia" w:eastAsia="宋体"/>
                <w:vertAlign w:val="subscript"/>
                <w:lang w:val="en-US" w:eastAsia="zh-CN"/>
              </w:rPr>
            </w:pPr>
            <w:r>
              <w:rPr>
                <w:rFonts w:hint="eastAsia"/>
                <w:lang w:val="en-US" w:eastAsia="zh-CN"/>
              </w:rPr>
              <w:t>Some symbols were not congruous with the symbols in TS 38.104</w:t>
            </w:r>
            <w:r>
              <w:rPr>
                <w:rFonts w:hint="eastAsia" w:eastAsia="宋体"/>
                <w:lang w:val="en-US" w:eastAsia="zh-CN"/>
              </w:rPr>
              <w:t>.</w:t>
            </w:r>
          </w:p>
        </w:tc>
      </w:tr>
      <w:tr>
        <w:tblPrEx>
          <w:tblLayout w:type="fixed"/>
        </w:tblPrEx>
        <w:tc>
          <w:tcPr>
            <w:tcW w:w="2268" w:type="dxa"/>
            <w:gridSpan w:val="2"/>
            <w:tcBorders>
              <w:left w:val="single" w:color="auto" w:sz="4" w:space="0"/>
            </w:tcBorders>
            <w:vAlign w:val="top"/>
          </w:tcPr>
          <w:p>
            <w:pPr>
              <w:pStyle w:val="78"/>
              <w:spacing w:after="0"/>
              <w:rPr>
                <w:b/>
                <w:i/>
                <w:sz w:val="8"/>
                <w:szCs w:val="8"/>
              </w:rPr>
            </w:pPr>
          </w:p>
        </w:tc>
        <w:tc>
          <w:tcPr>
            <w:tcW w:w="7373" w:type="dxa"/>
            <w:gridSpan w:val="9"/>
            <w:tcBorders>
              <w:right w:val="single" w:color="auto" w:sz="4" w:space="0"/>
            </w:tcBorders>
            <w:vAlign w:val="top"/>
          </w:tcPr>
          <w:p>
            <w:pPr>
              <w:pStyle w:val="78"/>
              <w:spacing w:after="0"/>
              <w:rPr>
                <w:sz w:val="8"/>
                <w:szCs w:val="8"/>
              </w:rPr>
            </w:pPr>
          </w:p>
        </w:tc>
      </w:tr>
      <w:tr>
        <w:tblPrEx>
          <w:tblLayout w:type="fixed"/>
        </w:tblPrEx>
        <w:tc>
          <w:tcPr>
            <w:tcW w:w="2268" w:type="dxa"/>
            <w:gridSpan w:val="2"/>
            <w:tcBorders>
              <w:left w:val="single" w:color="auto" w:sz="4" w:space="0"/>
            </w:tcBorders>
            <w:shd w:val="clear" w:color="auto" w:fill="auto"/>
            <w:vAlign w:val="top"/>
          </w:tcPr>
          <w:p>
            <w:pPr>
              <w:pStyle w:val="78"/>
              <w:tabs>
                <w:tab w:val="right" w:pos="2184"/>
              </w:tabs>
              <w:spacing w:after="0"/>
              <w:rPr>
                <w:b/>
                <w:i/>
              </w:rPr>
            </w:pPr>
            <w:r>
              <w:rPr>
                <w:b/>
                <w:i/>
              </w:rPr>
              <w:t>Summary of change:</w:t>
            </w:r>
          </w:p>
        </w:tc>
        <w:tc>
          <w:tcPr>
            <w:tcW w:w="7373" w:type="dxa"/>
            <w:gridSpan w:val="9"/>
            <w:tcBorders>
              <w:right w:val="single" w:color="auto" w:sz="4" w:space="0"/>
            </w:tcBorders>
            <w:shd w:val="pct30" w:color="FFFF00" w:fill="auto"/>
            <w:vAlign w:val="top"/>
          </w:tcPr>
          <w:p>
            <w:pPr>
              <w:pStyle w:val="78"/>
              <w:spacing w:after="0"/>
              <w:ind w:left="100"/>
              <w:rPr>
                <w:rFonts w:hint="eastAsia"/>
                <w:lang w:val="en-US" w:eastAsia="zh-CN"/>
              </w:rPr>
            </w:pPr>
            <w:r>
              <w:rPr>
                <w:rFonts w:hint="eastAsia"/>
                <w:lang w:val="en-US" w:eastAsia="zh-CN"/>
              </w:rPr>
              <w:t>Correcting the symbols.</w:t>
            </w:r>
          </w:p>
        </w:tc>
      </w:tr>
      <w:tr>
        <w:tblPrEx>
          <w:tblLayout w:type="fixed"/>
        </w:tblPrEx>
        <w:tc>
          <w:tcPr>
            <w:tcW w:w="2268" w:type="dxa"/>
            <w:gridSpan w:val="2"/>
            <w:tcBorders>
              <w:left w:val="single" w:color="auto" w:sz="4" w:space="0"/>
            </w:tcBorders>
            <w:vAlign w:val="top"/>
          </w:tcPr>
          <w:p>
            <w:pPr>
              <w:pStyle w:val="78"/>
              <w:spacing w:after="0"/>
              <w:rPr>
                <w:b/>
                <w:i/>
                <w:sz w:val="8"/>
                <w:szCs w:val="8"/>
              </w:rPr>
            </w:pPr>
          </w:p>
        </w:tc>
        <w:tc>
          <w:tcPr>
            <w:tcW w:w="7373" w:type="dxa"/>
            <w:gridSpan w:val="9"/>
            <w:tcBorders>
              <w:right w:val="single" w:color="auto" w:sz="4" w:space="0"/>
            </w:tcBorders>
            <w:vAlign w:val="top"/>
          </w:tcPr>
          <w:p>
            <w:pPr>
              <w:pStyle w:val="78"/>
              <w:spacing w:after="0"/>
              <w:rPr>
                <w:sz w:val="8"/>
                <w:szCs w:val="8"/>
              </w:rPr>
            </w:pPr>
          </w:p>
        </w:tc>
      </w:tr>
      <w:tr>
        <w:tblPrEx>
          <w:tblLayout w:type="fixed"/>
        </w:tblPrEx>
        <w:tc>
          <w:tcPr>
            <w:tcW w:w="2268" w:type="dxa"/>
            <w:gridSpan w:val="2"/>
            <w:tcBorders>
              <w:left w:val="single" w:color="auto" w:sz="4" w:space="0"/>
              <w:bottom w:val="single" w:color="auto" w:sz="4" w:space="0"/>
            </w:tcBorders>
            <w:shd w:val="clear" w:color="auto" w:fill="auto"/>
            <w:vAlign w:val="top"/>
          </w:tcPr>
          <w:p>
            <w:pPr>
              <w:pStyle w:val="78"/>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vAlign w:val="top"/>
          </w:tcPr>
          <w:p>
            <w:pPr>
              <w:pStyle w:val="78"/>
              <w:spacing w:after="0"/>
              <w:ind w:left="100"/>
              <w:rPr>
                <w:rFonts w:hint="eastAsia" w:eastAsia="宋体"/>
                <w:lang w:val="en-US" w:eastAsia="zh-CN"/>
              </w:rPr>
            </w:pPr>
            <w:r>
              <w:rPr>
                <w:rFonts w:hint="eastAsia"/>
                <w:lang w:val="en-US" w:eastAsia="zh-CN"/>
              </w:rPr>
              <w:t>Incongruous symbols with TS 38.104</w:t>
            </w:r>
            <w:r>
              <w:rPr>
                <w:rFonts w:hint="eastAsia" w:eastAsia="宋体"/>
                <w:lang w:val="en-US" w:eastAsia="zh-CN"/>
              </w:rPr>
              <w:t>.</w:t>
            </w:r>
          </w:p>
        </w:tc>
      </w:tr>
      <w:tr>
        <w:tblPrEx>
          <w:tblLayout w:type="fixed"/>
        </w:tblPrEx>
        <w:tc>
          <w:tcPr>
            <w:tcW w:w="2268" w:type="dxa"/>
            <w:gridSpan w:val="2"/>
            <w:vAlign w:val="top"/>
          </w:tcPr>
          <w:p>
            <w:pPr>
              <w:pStyle w:val="78"/>
              <w:spacing w:after="0"/>
              <w:rPr>
                <w:b/>
                <w:i/>
                <w:sz w:val="8"/>
                <w:szCs w:val="8"/>
              </w:rPr>
            </w:pPr>
          </w:p>
        </w:tc>
        <w:tc>
          <w:tcPr>
            <w:tcW w:w="7373" w:type="dxa"/>
            <w:gridSpan w:val="9"/>
            <w:vAlign w:val="top"/>
          </w:tcPr>
          <w:p>
            <w:pPr>
              <w:pStyle w:val="78"/>
              <w:spacing w:after="0"/>
              <w:rPr>
                <w:sz w:val="8"/>
                <w:szCs w:val="8"/>
              </w:rPr>
            </w:pPr>
          </w:p>
        </w:tc>
      </w:tr>
      <w:tr>
        <w:tblPrEx>
          <w:tblLayout w:type="fixed"/>
        </w:tblPrEx>
        <w:tc>
          <w:tcPr>
            <w:tcW w:w="2268" w:type="dxa"/>
            <w:gridSpan w:val="2"/>
            <w:tcBorders>
              <w:top w:val="single" w:color="auto" w:sz="4" w:space="0"/>
              <w:left w:val="single" w:color="auto" w:sz="4" w:space="0"/>
            </w:tcBorders>
            <w:shd w:val="clear" w:color="auto" w:fill="auto"/>
            <w:vAlign w:val="top"/>
          </w:tcPr>
          <w:p>
            <w:pPr>
              <w:pStyle w:val="78"/>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vAlign w:val="top"/>
          </w:tcPr>
          <w:p>
            <w:pPr>
              <w:pStyle w:val="78"/>
              <w:spacing w:after="0"/>
              <w:ind w:left="100"/>
              <w:rPr>
                <w:rFonts w:hint="default" w:eastAsia="宋体"/>
                <w:lang w:val="en-US" w:eastAsia="zh-CN"/>
              </w:rPr>
            </w:pPr>
            <w:r>
              <w:rPr>
                <w:rFonts w:hint="eastAsia"/>
                <w:lang w:val="en-US" w:eastAsia="zh-CN"/>
              </w:rPr>
              <w:t>3.2, 4.4.2, 8.2.1.2, 8.2.1.3</w:t>
            </w:r>
          </w:p>
        </w:tc>
      </w:tr>
      <w:tr>
        <w:tblPrEx>
          <w:tblLayout w:type="fixed"/>
        </w:tblPrEx>
        <w:tc>
          <w:tcPr>
            <w:tcW w:w="2268" w:type="dxa"/>
            <w:gridSpan w:val="2"/>
            <w:tcBorders>
              <w:left w:val="single" w:color="auto" w:sz="4" w:space="0"/>
            </w:tcBorders>
            <w:vAlign w:val="top"/>
          </w:tcPr>
          <w:p>
            <w:pPr>
              <w:pStyle w:val="78"/>
              <w:spacing w:after="0"/>
              <w:rPr>
                <w:b/>
                <w:i/>
                <w:sz w:val="8"/>
                <w:szCs w:val="8"/>
              </w:rPr>
            </w:pPr>
          </w:p>
        </w:tc>
        <w:tc>
          <w:tcPr>
            <w:tcW w:w="7373" w:type="dxa"/>
            <w:gridSpan w:val="9"/>
            <w:tcBorders>
              <w:right w:val="single" w:color="auto" w:sz="4" w:space="0"/>
            </w:tcBorders>
            <w:vAlign w:val="top"/>
          </w:tcPr>
          <w:p>
            <w:pPr>
              <w:pStyle w:val="78"/>
              <w:spacing w:after="0"/>
              <w:rPr>
                <w:sz w:val="8"/>
                <w:szCs w:val="8"/>
              </w:rPr>
            </w:pPr>
          </w:p>
        </w:tc>
      </w:tr>
      <w:tr>
        <w:tblPrEx>
          <w:tblLayout w:type="fixed"/>
        </w:tblPrEx>
        <w:tc>
          <w:tcPr>
            <w:tcW w:w="2268" w:type="dxa"/>
            <w:gridSpan w:val="2"/>
            <w:tcBorders>
              <w:left w:val="single" w:color="auto" w:sz="4" w:space="0"/>
            </w:tcBorders>
            <w:shd w:val="clear" w:color="auto" w:fill="auto"/>
            <w:vAlign w:val="top"/>
          </w:tcPr>
          <w:p>
            <w:pPr>
              <w:pStyle w:val="78"/>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7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78"/>
              <w:spacing w:after="0"/>
              <w:jc w:val="center"/>
              <w:rPr>
                <w:b/>
                <w:caps/>
              </w:rPr>
            </w:pPr>
            <w:r>
              <w:rPr>
                <w:b/>
                <w:caps/>
              </w:rPr>
              <w:t>N</w:t>
            </w:r>
          </w:p>
        </w:tc>
        <w:tc>
          <w:tcPr>
            <w:tcW w:w="2977" w:type="dxa"/>
            <w:gridSpan w:val="3"/>
            <w:shd w:val="clear" w:color="auto" w:fill="auto"/>
            <w:vAlign w:val="top"/>
          </w:tcPr>
          <w:p>
            <w:pPr>
              <w:pStyle w:val="78"/>
              <w:tabs>
                <w:tab w:val="right" w:pos="2893"/>
              </w:tabs>
              <w:spacing w:after="0"/>
            </w:pPr>
          </w:p>
        </w:tc>
        <w:tc>
          <w:tcPr>
            <w:tcW w:w="3828" w:type="dxa"/>
            <w:gridSpan w:val="4"/>
            <w:tcBorders>
              <w:right w:val="single" w:color="auto" w:sz="4" w:space="0"/>
            </w:tcBorders>
            <w:shd w:val="clear" w:color="FFFF00" w:fill="auto"/>
            <w:vAlign w:val="top"/>
          </w:tcPr>
          <w:p>
            <w:pPr>
              <w:pStyle w:val="78"/>
              <w:spacing w:after="0"/>
              <w:ind w:left="99"/>
            </w:pPr>
          </w:p>
        </w:tc>
      </w:tr>
      <w:tr>
        <w:tblPrEx>
          <w:tblLayout w:type="fixed"/>
        </w:tblPrEx>
        <w:tc>
          <w:tcPr>
            <w:tcW w:w="2268" w:type="dxa"/>
            <w:gridSpan w:val="2"/>
            <w:tcBorders>
              <w:left w:val="single" w:color="auto" w:sz="4" w:space="0"/>
            </w:tcBorders>
            <w:shd w:val="clear" w:color="auto" w:fill="auto"/>
            <w:vAlign w:val="top"/>
          </w:tcPr>
          <w:p>
            <w:pPr>
              <w:pStyle w:val="7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78"/>
              <w:spacing w:after="0"/>
              <w:jc w:val="center"/>
              <w:rPr>
                <w:b/>
                <w:caps/>
              </w:rPr>
            </w:pPr>
            <w:r>
              <w:rPr>
                <w:b/>
                <w:caps/>
              </w:rPr>
              <w:t>X</w:t>
            </w:r>
          </w:p>
        </w:tc>
        <w:tc>
          <w:tcPr>
            <w:tcW w:w="2977" w:type="dxa"/>
            <w:gridSpan w:val="3"/>
            <w:shd w:val="clear" w:color="auto" w:fill="auto"/>
            <w:vAlign w:val="top"/>
          </w:tcPr>
          <w:p>
            <w:pPr>
              <w:pStyle w:val="78"/>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vAlign w:val="top"/>
          </w:tcPr>
          <w:p>
            <w:pPr>
              <w:pStyle w:val="78"/>
              <w:spacing w:after="0"/>
              <w:ind w:left="99"/>
            </w:pPr>
            <w:r>
              <w:t xml:space="preserve">TS/TR ... CR ... </w:t>
            </w:r>
          </w:p>
        </w:tc>
      </w:tr>
      <w:tr>
        <w:tblPrEx>
          <w:tblLayout w:type="fixed"/>
        </w:tblPrEx>
        <w:tc>
          <w:tcPr>
            <w:tcW w:w="2268" w:type="dxa"/>
            <w:gridSpan w:val="2"/>
            <w:tcBorders>
              <w:left w:val="single" w:color="auto" w:sz="4" w:space="0"/>
            </w:tcBorders>
            <w:shd w:val="clear" w:color="auto" w:fill="auto"/>
            <w:vAlign w:val="top"/>
          </w:tcPr>
          <w:p>
            <w:pPr>
              <w:pStyle w:val="7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78"/>
              <w:spacing w:after="0"/>
              <w:jc w:val="center"/>
              <w:rPr>
                <w:b/>
                <w:caps/>
              </w:rPr>
            </w:pPr>
            <w:r>
              <w:rPr>
                <w:b/>
                <w:caps/>
              </w:rPr>
              <w:t>X</w:t>
            </w:r>
          </w:p>
        </w:tc>
        <w:tc>
          <w:tcPr>
            <w:tcW w:w="2977" w:type="dxa"/>
            <w:gridSpan w:val="3"/>
            <w:shd w:val="clear" w:color="auto" w:fill="auto"/>
            <w:vAlign w:val="top"/>
          </w:tcPr>
          <w:p>
            <w:pPr>
              <w:pStyle w:val="78"/>
              <w:spacing w:after="0"/>
            </w:pPr>
            <w:r>
              <w:t xml:space="preserve"> Test specifications</w:t>
            </w:r>
          </w:p>
        </w:tc>
        <w:tc>
          <w:tcPr>
            <w:tcW w:w="3828" w:type="dxa"/>
            <w:gridSpan w:val="4"/>
            <w:tcBorders>
              <w:right w:val="single" w:color="auto" w:sz="4" w:space="0"/>
            </w:tcBorders>
            <w:shd w:val="pct30" w:color="FFFF00" w:fill="auto"/>
            <w:vAlign w:val="top"/>
          </w:tcPr>
          <w:p>
            <w:pPr>
              <w:pStyle w:val="78"/>
              <w:spacing w:after="0"/>
              <w:ind w:left="99"/>
            </w:pPr>
            <w:r>
              <w:t xml:space="preserve">TS/TR ... CR ... </w:t>
            </w:r>
          </w:p>
        </w:tc>
      </w:tr>
      <w:tr>
        <w:tblPrEx>
          <w:tblLayout w:type="fixed"/>
        </w:tblPrEx>
        <w:tc>
          <w:tcPr>
            <w:tcW w:w="2268" w:type="dxa"/>
            <w:gridSpan w:val="2"/>
            <w:tcBorders>
              <w:left w:val="single" w:color="auto" w:sz="4" w:space="0"/>
            </w:tcBorders>
            <w:shd w:val="clear" w:color="auto" w:fill="auto"/>
            <w:vAlign w:val="top"/>
          </w:tcPr>
          <w:p>
            <w:pPr>
              <w:pStyle w:val="7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78"/>
              <w:spacing w:after="0"/>
              <w:jc w:val="center"/>
              <w:rPr>
                <w:b/>
                <w:caps/>
              </w:rPr>
            </w:pPr>
            <w:r>
              <w:rPr>
                <w:b/>
                <w:caps/>
              </w:rPr>
              <w:t>X</w:t>
            </w:r>
          </w:p>
        </w:tc>
        <w:tc>
          <w:tcPr>
            <w:tcW w:w="2977" w:type="dxa"/>
            <w:gridSpan w:val="3"/>
            <w:shd w:val="clear" w:color="auto" w:fill="auto"/>
            <w:vAlign w:val="top"/>
          </w:tcPr>
          <w:p>
            <w:pPr>
              <w:pStyle w:val="78"/>
              <w:spacing w:after="0"/>
            </w:pPr>
            <w:r>
              <w:t xml:space="preserve"> O&amp;M Specifications</w:t>
            </w:r>
          </w:p>
        </w:tc>
        <w:tc>
          <w:tcPr>
            <w:tcW w:w="3828" w:type="dxa"/>
            <w:gridSpan w:val="4"/>
            <w:tcBorders>
              <w:right w:val="single" w:color="auto" w:sz="4" w:space="0"/>
            </w:tcBorders>
            <w:shd w:val="pct30" w:color="FFFF00" w:fill="auto"/>
            <w:vAlign w:val="top"/>
          </w:tcPr>
          <w:p>
            <w:pPr>
              <w:pStyle w:val="78"/>
              <w:spacing w:after="0"/>
              <w:ind w:left="99"/>
            </w:pPr>
            <w:r>
              <w:t xml:space="preserve">TS/TR ... CR ... </w:t>
            </w:r>
          </w:p>
        </w:tc>
      </w:tr>
      <w:tr>
        <w:tblPrEx>
          <w:tblLayout w:type="fixed"/>
        </w:tblPrEx>
        <w:tc>
          <w:tcPr>
            <w:tcW w:w="2268" w:type="dxa"/>
            <w:gridSpan w:val="2"/>
            <w:tcBorders>
              <w:left w:val="single" w:color="auto" w:sz="4" w:space="0"/>
            </w:tcBorders>
            <w:vAlign w:val="top"/>
          </w:tcPr>
          <w:p>
            <w:pPr>
              <w:pStyle w:val="78"/>
              <w:spacing w:after="0"/>
              <w:rPr>
                <w:b/>
                <w:i/>
              </w:rPr>
            </w:pPr>
          </w:p>
        </w:tc>
        <w:tc>
          <w:tcPr>
            <w:tcW w:w="7373" w:type="dxa"/>
            <w:gridSpan w:val="9"/>
            <w:tcBorders>
              <w:right w:val="single" w:color="auto" w:sz="4" w:space="0"/>
            </w:tcBorders>
            <w:vAlign w:val="top"/>
          </w:tcPr>
          <w:p>
            <w:pPr>
              <w:pStyle w:val="78"/>
              <w:spacing w:after="0"/>
            </w:pPr>
          </w:p>
        </w:tc>
      </w:tr>
      <w:tr>
        <w:tblPrEx>
          <w:tblLayout w:type="fixed"/>
        </w:tblPrEx>
        <w:tc>
          <w:tcPr>
            <w:tcW w:w="2268" w:type="dxa"/>
            <w:gridSpan w:val="2"/>
            <w:tcBorders>
              <w:left w:val="single" w:color="auto" w:sz="4" w:space="0"/>
              <w:bottom w:val="single" w:color="auto" w:sz="4" w:space="0"/>
            </w:tcBorders>
            <w:shd w:val="clear" w:color="auto" w:fill="auto"/>
            <w:vAlign w:val="top"/>
          </w:tcPr>
          <w:p>
            <w:pPr>
              <w:pStyle w:val="78"/>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vAlign w:val="top"/>
          </w:tcPr>
          <w:p>
            <w:pPr>
              <w:pStyle w:val="78"/>
              <w:spacing w:after="0"/>
              <w:ind w:left="100"/>
            </w:pPr>
          </w:p>
        </w:tc>
      </w:tr>
    </w:tbl>
    <w:p>
      <w:pPr>
        <w:pStyle w:val="78"/>
        <w:spacing w:after="0"/>
        <w:rPr>
          <w:sz w:val="8"/>
          <w:szCs w:val="8"/>
        </w:rPr>
      </w:pPr>
    </w:p>
    <w:p>
      <w:pPr>
        <w:sectPr>
          <w:headerReference r:id="rId3" w:type="even"/>
          <w:footnotePr>
            <w:numRestart w:val="eachSect"/>
          </w:footnotePr>
          <w:pgSz w:w="11907" w:h="16840"/>
          <w:pgMar w:top="1418" w:right="1134" w:bottom="1134" w:left="1134" w:header="680" w:footer="567" w:gutter="0"/>
          <w:lnNumType w:countBy="0" w:distance="576"/>
          <w:cols w:space="720" w:num="1"/>
        </w:sectPr>
      </w:pPr>
    </w:p>
    <w:p>
      <w:pPr>
        <w:rPr>
          <w:b/>
          <w:color w:val="FF0000"/>
          <w:sz w:val="28"/>
          <w:szCs w:val="28"/>
        </w:rPr>
      </w:pPr>
      <w:bookmarkStart w:id="10" w:name="_Toc10103"/>
      <w:bookmarkStart w:id="11" w:name="_Toc19201"/>
      <w:bookmarkStart w:id="12" w:name="_Toc5038"/>
      <w:bookmarkStart w:id="13" w:name="_Toc6033"/>
      <w:bookmarkStart w:id="14" w:name="_Toc16090"/>
      <w:bookmarkStart w:id="15" w:name="_Toc28897"/>
      <w:bookmarkStart w:id="16" w:name="_Toc788"/>
      <w:bookmarkStart w:id="17" w:name="_Toc497395449"/>
      <w:bookmarkStart w:id="18" w:name="_Toc478463326"/>
      <w:bookmarkStart w:id="19" w:name="_Toc17336"/>
      <w:bookmarkStart w:id="20" w:name="_Toc16758"/>
      <w:r>
        <w:rPr>
          <w:b/>
          <w:color w:val="FF0000"/>
          <w:sz w:val="28"/>
          <w:szCs w:val="28"/>
        </w:rPr>
        <w:t xml:space="preserve">--------------Start of text </w:t>
      </w:r>
      <w:r>
        <w:rPr>
          <w:rFonts w:hint="eastAsia"/>
          <w:b/>
          <w:color w:val="FF0000"/>
          <w:sz w:val="28"/>
          <w:szCs w:val="28"/>
          <w:lang w:val="en-US" w:eastAsia="zh-CN"/>
        </w:rPr>
        <w:t>change</w:t>
      </w:r>
      <w:r>
        <w:rPr>
          <w:b/>
          <w:color w:val="FF0000"/>
          <w:sz w:val="28"/>
          <w:szCs w:val="28"/>
        </w:rPr>
        <w:t>-------------</w:t>
      </w:r>
    </w:p>
    <w:p>
      <w:pPr>
        <w:pStyle w:val="3"/>
      </w:pPr>
      <w:bookmarkStart w:id="21" w:name="_Toc535249195"/>
      <w:r>
        <w:t>3.2</w:t>
      </w:r>
      <w:r>
        <w:tab/>
      </w:r>
      <w:r>
        <w:t>Symbols</w:t>
      </w:r>
      <w:bookmarkEnd w:id="21"/>
    </w:p>
    <w:p>
      <w:r>
        <w:t>For the purposes of the present document, the following symbols apply:</w:t>
      </w:r>
    </w:p>
    <w:p>
      <w:pPr>
        <w:pStyle w:val="72"/>
        <w:rPr>
          <w:lang w:val="en-US"/>
        </w:rPr>
      </w:pPr>
      <w:r>
        <w:rPr>
          <w:rFonts w:hint="eastAsia"/>
          <w:lang w:eastAsia="zh-CN"/>
        </w:rPr>
        <w:t>β</w:t>
      </w:r>
      <w:r>
        <w:tab/>
      </w:r>
      <w:r>
        <w:rPr>
          <w:lang w:val="en-US"/>
        </w:rPr>
        <w:t>Bandwidth</w:t>
      </w:r>
    </w:p>
    <w:p>
      <w:pPr>
        <w:pStyle w:val="72"/>
      </w:pPr>
      <w:r>
        <w:t>BWChannel</w:t>
      </w:r>
      <w:r>
        <w:tab/>
      </w:r>
      <w:r>
        <w:t>Channel bandwidth</w:t>
      </w:r>
    </w:p>
    <w:p>
      <w:pPr>
        <w:pStyle w:val="72"/>
      </w:pPr>
      <w:r>
        <w:t>Δf</w:t>
      </w:r>
      <w:r>
        <w:rPr>
          <w:rFonts w:hint="eastAsia"/>
          <w:vertAlign w:val="subscript"/>
          <w:lang w:val="en-US" w:eastAsia="zh-CN"/>
        </w:rPr>
        <w:t>OBUE</w:t>
      </w:r>
      <w:r>
        <w:tab/>
      </w:r>
      <w:r>
        <w:t xml:space="preserve">Maximum offset of the </w:t>
      </w:r>
      <w:r>
        <w:rPr>
          <w:i/>
          <w:iCs/>
        </w:rPr>
        <w:t>operating band</w:t>
      </w:r>
      <w:r>
        <w:t xml:space="preserve"> unwanted emissions mask from the </w:t>
      </w:r>
      <w:ins w:id="0" w:author="Xie(ZTE)" w:date="2019-01-21T15:00:12Z">
        <w:r>
          <w:rPr/>
          <w:t xml:space="preserve">downlink </w:t>
        </w:r>
      </w:ins>
      <w:r>
        <w:rPr>
          <w:i/>
          <w:iCs/>
        </w:rPr>
        <w:t>operating band</w:t>
      </w:r>
      <w:r>
        <w:t xml:space="preserve"> edge </w:t>
      </w:r>
    </w:p>
    <w:p>
      <w:pPr>
        <w:pStyle w:val="72"/>
      </w:pPr>
      <w:r>
        <w:rPr>
          <w:lang w:val="en-US"/>
        </w:rPr>
        <w:t>Δf</w:t>
      </w:r>
      <w:r>
        <w:rPr>
          <w:vertAlign w:val="subscript"/>
          <w:lang w:val="en-US"/>
        </w:rPr>
        <w:t>OOB</w:t>
      </w:r>
      <w:r>
        <w:rPr>
          <w:rFonts w:eastAsia="宋体"/>
          <w:vertAlign w:val="subscript"/>
          <w:lang w:val="en-US" w:eastAsia="zh-CN"/>
        </w:rPr>
        <w:tab/>
      </w:r>
      <w:r>
        <w:t xml:space="preserve">Maximum offset of the </w:t>
      </w:r>
      <w:r>
        <w:rPr>
          <w:rFonts w:cs="v5.0.0"/>
        </w:rPr>
        <w:t xml:space="preserve">out-of-band </w:t>
      </w:r>
      <w:r>
        <w:rPr>
          <w:rFonts w:hint="eastAsia" w:cs="v5.0.0"/>
          <w:lang w:val="en-US" w:eastAsia="zh-CN"/>
        </w:rPr>
        <w:t>boundary</w:t>
      </w:r>
      <w:r>
        <w:t xml:space="preserve"> from the uplink </w:t>
      </w:r>
      <w:r>
        <w:rPr>
          <w:i/>
          <w:iCs/>
        </w:rPr>
        <w:t>operating band</w:t>
      </w:r>
      <w:r>
        <w:t xml:space="preserve"> edge</w:t>
      </w:r>
    </w:p>
    <w:p>
      <w:pPr>
        <w:pStyle w:val="72"/>
      </w:pPr>
      <w:ins w:id="1" w:author="Xie(ZTE)" w:date="2019-01-21T14:56:55Z">
        <w:r>
          <w:rPr/>
          <w:t>F</w:t>
        </w:r>
      </w:ins>
      <w:ins w:id="2" w:author="Xie(ZTE)" w:date="2019-01-21T14:56:55Z">
        <w:r>
          <w:rPr>
            <w:vertAlign w:val="subscript"/>
          </w:rPr>
          <w:t>DL,low</w:t>
        </w:r>
      </w:ins>
      <w:del w:id="3" w:author="Xie(ZTE)" w:date="2019-01-21T14:56:55Z">
        <w:r>
          <w:rPr/>
          <w:delText>F</w:delText>
        </w:r>
      </w:del>
      <w:del w:id="4" w:author="Xie(ZTE)" w:date="2019-01-21T14:56:55Z">
        <w:r>
          <w:rPr>
            <w:vertAlign w:val="subscript"/>
          </w:rPr>
          <w:delText>DL_low</w:delText>
        </w:r>
      </w:del>
      <w:r>
        <w:tab/>
      </w:r>
      <w:r>
        <w:t xml:space="preserve">The lowest frequency of the downlink </w:t>
      </w:r>
      <w:r>
        <w:rPr>
          <w:i/>
          <w:iCs/>
        </w:rPr>
        <w:t>operating band</w:t>
      </w:r>
    </w:p>
    <w:p>
      <w:pPr>
        <w:pStyle w:val="72"/>
      </w:pPr>
      <w:ins w:id="5" w:author="Xie(ZTE)" w:date="2019-01-21T14:57:59Z">
        <w:r>
          <w:rPr/>
          <w:t>F</w:t>
        </w:r>
      </w:ins>
      <w:ins w:id="6" w:author="Xie(ZTE)" w:date="2019-01-21T14:57:59Z">
        <w:r>
          <w:rPr>
            <w:vertAlign w:val="subscript"/>
          </w:rPr>
          <w:t>DL,high</w:t>
        </w:r>
      </w:ins>
      <w:del w:id="7" w:author="Xie(ZTE)" w:date="2019-01-21T14:57:59Z">
        <w:r>
          <w:rPr/>
          <w:delText>F</w:delText>
        </w:r>
      </w:del>
      <w:del w:id="8" w:author="Xie(ZTE)" w:date="2019-01-21T14:57:59Z">
        <w:r>
          <w:rPr>
            <w:vertAlign w:val="subscript"/>
          </w:rPr>
          <w:delText>DL_high</w:delText>
        </w:r>
      </w:del>
      <w:r>
        <w:tab/>
      </w:r>
      <w:r>
        <w:t xml:space="preserve">The highest frequency of the downlink </w:t>
      </w:r>
      <w:r>
        <w:rPr>
          <w:i/>
          <w:iCs/>
        </w:rPr>
        <w:t>operating band</w:t>
      </w:r>
    </w:p>
    <w:p>
      <w:pPr>
        <w:pStyle w:val="72"/>
        <w:rPr>
          <w:vertAlign w:val="subscript"/>
        </w:rPr>
      </w:pPr>
      <w:ins w:id="9" w:author="Xie(ZTE)" w:date="2019-01-21T14:58:18Z">
        <w:r>
          <w:rPr/>
          <w:t>F</w:t>
        </w:r>
      </w:ins>
      <w:ins w:id="10" w:author="Xie(ZTE)" w:date="2019-01-21T14:58:18Z">
        <w:r>
          <w:rPr>
            <w:vertAlign w:val="subscript"/>
          </w:rPr>
          <w:t>UL,low</w:t>
        </w:r>
      </w:ins>
      <w:del w:id="11" w:author="Xie(ZTE)" w:date="2019-01-21T14:58:18Z">
        <w:r>
          <w:rPr/>
          <w:delText>F</w:delText>
        </w:r>
      </w:del>
      <w:del w:id="12" w:author="Xie(ZTE)" w:date="2019-01-21T14:58:18Z">
        <w:r>
          <w:rPr>
            <w:vertAlign w:val="subscript"/>
          </w:rPr>
          <w:delText>UL_low</w:delText>
        </w:r>
      </w:del>
      <w:r>
        <w:rPr>
          <w:rFonts w:eastAsia="宋体"/>
          <w:vertAlign w:val="subscript"/>
          <w:lang w:val="en-US" w:eastAsia="zh-CN"/>
        </w:rPr>
        <w:tab/>
      </w:r>
      <w:r>
        <w:t xml:space="preserve">The lowest frequency of the </w:t>
      </w:r>
      <w:r>
        <w:rPr>
          <w:rFonts w:hint="eastAsia" w:eastAsia="宋体"/>
          <w:lang w:val="en-US" w:eastAsia="zh-CN"/>
        </w:rPr>
        <w:t>up</w:t>
      </w:r>
      <w:r>
        <w:t xml:space="preserve">link </w:t>
      </w:r>
      <w:r>
        <w:rPr>
          <w:i/>
          <w:iCs/>
        </w:rPr>
        <w:t>operating band</w:t>
      </w:r>
    </w:p>
    <w:p>
      <w:pPr>
        <w:pStyle w:val="72"/>
      </w:pPr>
      <w:ins w:id="13" w:author="Xie(ZTE)" w:date="2019-01-21T14:59:06Z">
        <w:r>
          <w:rPr>
            <w:rFonts w:cs="Arial"/>
          </w:rPr>
          <w:t>F</w:t>
        </w:r>
      </w:ins>
      <w:ins w:id="14" w:author="Xie(ZTE)" w:date="2019-01-21T14:59:06Z">
        <w:r>
          <w:rPr>
            <w:rFonts w:cs="Arial"/>
            <w:vertAlign w:val="subscript"/>
          </w:rPr>
          <w:t>UL,high</w:t>
        </w:r>
      </w:ins>
      <w:del w:id="15" w:author="Xie(ZTE)" w:date="2019-01-21T14:59:06Z">
        <w:r>
          <w:rPr/>
          <w:delText>F</w:delText>
        </w:r>
      </w:del>
      <w:del w:id="16" w:author="Xie(ZTE)" w:date="2019-01-21T14:59:06Z">
        <w:r>
          <w:rPr>
            <w:vertAlign w:val="subscript"/>
          </w:rPr>
          <w:delText>UL_high</w:delText>
        </w:r>
      </w:del>
      <w:r>
        <w:rPr>
          <w:rFonts w:eastAsia="宋体"/>
          <w:vertAlign w:val="subscript"/>
          <w:lang w:val="en-US" w:eastAsia="zh-CN"/>
        </w:rPr>
        <w:tab/>
      </w:r>
      <w:r>
        <w:t xml:space="preserve">The highest frequency of the </w:t>
      </w:r>
      <w:r>
        <w:rPr>
          <w:rFonts w:hint="eastAsia" w:eastAsia="宋体"/>
          <w:lang w:val="en-US" w:eastAsia="zh-CN"/>
        </w:rPr>
        <w:t>up</w:t>
      </w:r>
      <w:r>
        <w:t xml:space="preserve">link </w:t>
      </w:r>
      <w:r>
        <w:rPr>
          <w:i/>
          <w:iCs/>
        </w:rPr>
        <w:t>operating band</w:t>
      </w:r>
    </w:p>
    <w:p>
      <w:pPr>
        <w:pStyle w:val="4"/>
        <w:rPr>
          <w:rFonts w:hint="eastAsia"/>
          <w:lang w:val="en-US" w:eastAsia="zh-CN"/>
        </w:rPr>
      </w:pPr>
    </w:p>
    <w:p>
      <w:pPr>
        <w:rPr>
          <w:b/>
          <w:color w:val="FF0000"/>
          <w:sz w:val="28"/>
          <w:szCs w:val="28"/>
        </w:rPr>
      </w:pPr>
      <w:r>
        <w:rPr>
          <w:b/>
          <w:color w:val="FF0000"/>
          <w:sz w:val="28"/>
          <w:szCs w:val="28"/>
        </w:rPr>
        <w:t>--------------</w:t>
      </w:r>
      <w:r>
        <w:rPr>
          <w:rFonts w:hint="eastAsia"/>
          <w:b/>
          <w:color w:val="FF0000"/>
          <w:sz w:val="28"/>
          <w:szCs w:val="28"/>
          <w:lang w:val="en-US" w:eastAsia="zh-CN"/>
        </w:rPr>
        <w:t>End</w:t>
      </w:r>
      <w:r>
        <w:rPr>
          <w:b/>
          <w:color w:val="FF0000"/>
          <w:sz w:val="28"/>
          <w:szCs w:val="28"/>
        </w:rPr>
        <w:t xml:space="preserve"> of </w:t>
      </w:r>
      <w:r>
        <w:rPr>
          <w:rFonts w:hint="eastAsia"/>
          <w:b/>
          <w:color w:val="FF0000"/>
          <w:sz w:val="28"/>
          <w:szCs w:val="28"/>
          <w:lang w:val="en-US" w:eastAsia="zh-CN"/>
        </w:rPr>
        <w:t>first</w:t>
      </w:r>
      <w:r>
        <w:rPr>
          <w:b/>
          <w:color w:val="FF0000"/>
          <w:sz w:val="28"/>
          <w:szCs w:val="28"/>
        </w:rPr>
        <w:t xml:space="preserve"> </w:t>
      </w:r>
      <w:r>
        <w:rPr>
          <w:rFonts w:hint="eastAsia"/>
          <w:b/>
          <w:color w:val="FF0000"/>
          <w:sz w:val="28"/>
          <w:szCs w:val="28"/>
          <w:lang w:val="en-US" w:eastAsia="zh-CN"/>
        </w:rPr>
        <w:t>change</w:t>
      </w:r>
      <w:r>
        <w:rPr>
          <w:b/>
          <w:color w:val="FF0000"/>
          <w:sz w:val="28"/>
          <w:szCs w:val="28"/>
        </w:rPr>
        <w:t>-------------</w:t>
      </w:r>
    </w:p>
    <w:p>
      <w:pPr>
        <w:rPr>
          <w:b/>
          <w:color w:val="FF0000"/>
          <w:sz w:val="28"/>
          <w:szCs w:val="28"/>
        </w:rPr>
      </w:pPr>
    </w:p>
    <w:p>
      <w:pPr>
        <w:rPr>
          <w:b/>
          <w:color w:val="FF0000"/>
          <w:sz w:val="28"/>
          <w:szCs w:val="28"/>
        </w:rPr>
      </w:pPr>
      <w:r>
        <w:rPr>
          <w:b/>
          <w:color w:val="FF0000"/>
          <w:sz w:val="28"/>
          <w:szCs w:val="28"/>
        </w:rPr>
        <w:t xml:space="preserve">--------------Start of </w:t>
      </w:r>
      <w:r>
        <w:rPr>
          <w:rFonts w:hint="eastAsia"/>
          <w:b/>
          <w:color w:val="FF0000"/>
          <w:sz w:val="28"/>
          <w:szCs w:val="28"/>
          <w:lang w:val="en-US" w:eastAsia="zh-CN"/>
        </w:rPr>
        <w:t>second</w:t>
      </w:r>
      <w:r>
        <w:rPr>
          <w:b/>
          <w:color w:val="FF0000"/>
          <w:sz w:val="28"/>
          <w:szCs w:val="28"/>
        </w:rPr>
        <w:t xml:space="preserve"> </w:t>
      </w:r>
      <w:r>
        <w:rPr>
          <w:rFonts w:hint="eastAsia"/>
          <w:b/>
          <w:color w:val="FF0000"/>
          <w:sz w:val="28"/>
          <w:szCs w:val="28"/>
          <w:lang w:val="en-US" w:eastAsia="zh-CN"/>
        </w:rPr>
        <w:t>change</w:t>
      </w:r>
      <w:r>
        <w:rPr>
          <w:b/>
          <w:color w:val="FF0000"/>
          <w:sz w:val="28"/>
          <w:szCs w:val="28"/>
        </w:rPr>
        <w:t>-------------</w:t>
      </w:r>
    </w:p>
    <w:bookmarkEnd w:id="10"/>
    <w:bookmarkEnd w:id="11"/>
    <w:bookmarkEnd w:id="12"/>
    <w:bookmarkEnd w:id="13"/>
    <w:bookmarkEnd w:id="14"/>
    <w:bookmarkEnd w:id="15"/>
    <w:bookmarkEnd w:id="16"/>
    <w:bookmarkEnd w:id="17"/>
    <w:bookmarkEnd w:id="18"/>
    <w:bookmarkEnd w:id="19"/>
    <w:bookmarkEnd w:id="20"/>
    <w:p>
      <w:pPr>
        <w:pStyle w:val="4"/>
        <w:rPr>
          <w:lang w:val="en-US"/>
        </w:rPr>
      </w:pPr>
      <w:bookmarkStart w:id="22" w:name="_Toc535249203"/>
      <w:r>
        <w:rPr>
          <w:rFonts w:hint="eastAsia"/>
          <w:lang w:val="en-US" w:eastAsia="zh-CN"/>
        </w:rPr>
        <w:t>4.4.2</w:t>
      </w:r>
      <w:r>
        <w:tab/>
      </w:r>
      <w:r>
        <w:rPr>
          <w:rFonts w:hint="eastAsia"/>
          <w:lang w:val="en-US" w:eastAsia="zh-CN"/>
        </w:rPr>
        <w:t>Receiver exclusion band</w:t>
      </w:r>
      <w:bookmarkEnd w:id="22"/>
    </w:p>
    <w:p>
      <w:pPr>
        <w:rPr>
          <w:lang w:val="en-US"/>
        </w:rPr>
      </w:pPr>
      <w:r>
        <w:rPr>
          <w:lang w:val="en-US"/>
        </w:rPr>
        <w:t xml:space="preserve">The </w:t>
      </w:r>
      <w:r>
        <w:rPr>
          <w:i/>
          <w:lang w:val="en-US"/>
        </w:rPr>
        <w:t>receiver exclusion band</w:t>
      </w:r>
      <w:r>
        <w:rPr>
          <w:lang w:val="en-US"/>
        </w:rPr>
        <w:t xml:space="preserve"> for </w:t>
      </w:r>
      <w:r>
        <w:rPr>
          <w:rFonts w:hint="eastAsia" w:eastAsia="宋体"/>
          <w:lang w:val="en-US" w:eastAsia="zh-CN"/>
        </w:rPr>
        <w:t xml:space="preserve">BS </w:t>
      </w:r>
      <w:r>
        <w:rPr>
          <w:lang w:val="en-US"/>
        </w:rPr>
        <w:t xml:space="preserve">is the </w:t>
      </w:r>
      <w:r>
        <w:rPr>
          <w:rFonts w:hint="eastAsia" w:eastAsia="宋体"/>
          <w:lang w:val="en-US" w:eastAsia="zh-CN"/>
        </w:rPr>
        <w:t xml:space="preserve">frequency range </w:t>
      </w:r>
      <w:r>
        <w:rPr>
          <w:lang w:val="en-US"/>
        </w:rPr>
        <w:t xml:space="preserve">over which no tests of radiated immunity of a receiver are made. </w:t>
      </w:r>
    </w:p>
    <w:p>
      <w:pPr>
        <w:rPr>
          <w:lang w:val="en-US" w:eastAsia="zh-CN"/>
        </w:rPr>
      </w:pPr>
      <w:r>
        <w:rPr>
          <w:lang w:val="en-US" w:eastAsia="zh-CN"/>
        </w:rPr>
        <w:t xml:space="preserve">The </w:t>
      </w:r>
      <w:r>
        <w:rPr>
          <w:rFonts w:hint="eastAsia"/>
          <w:i/>
          <w:lang w:val="en-US" w:eastAsia="zh-CN"/>
        </w:rPr>
        <w:t xml:space="preserve">receiver </w:t>
      </w:r>
      <w:r>
        <w:rPr>
          <w:i/>
          <w:lang w:val="en-US" w:eastAsia="zh-CN"/>
        </w:rPr>
        <w:t>exclusion band</w:t>
      </w:r>
      <w:r>
        <w:rPr>
          <w:lang w:val="en-US" w:eastAsia="zh-CN"/>
        </w:rPr>
        <w:t xml:space="preserve"> </w:t>
      </w:r>
      <w:r>
        <w:rPr>
          <w:rFonts w:hint="eastAsia"/>
          <w:lang w:val="en-US" w:eastAsia="zh-CN"/>
        </w:rPr>
        <w:t>is defined as</w:t>
      </w:r>
      <w:r>
        <w:rPr>
          <w:lang w:val="en-US" w:eastAsia="zh-CN"/>
        </w:rPr>
        <w:t>:</w:t>
      </w:r>
    </w:p>
    <w:p>
      <w:pPr>
        <w:pStyle w:val="73"/>
      </w:pPr>
      <w:r>
        <w:rPr>
          <w:lang w:val="en-GB"/>
        </w:rPr>
        <w:tab/>
      </w:r>
      <w:ins w:id="17" w:author="Xie(ZTE)" w:date="2019-01-21T14:58:24Z">
        <w:r>
          <w:rPr/>
          <w:t>F</w:t>
        </w:r>
      </w:ins>
      <w:ins w:id="18" w:author="Xie(ZTE)" w:date="2019-01-21T14:58:24Z">
        <w:r>
          <w:rPr>
            <w:vertAlign w:val="subscript"/>
          </w:rPr>
          <w:t>UL,low</w:t>
        </w:r>
      </w:ins>
      <w:del w:id="19" w:author="Xie(ZTE)" w:date="2019-01-21T14:58:24Z">
        <w:r>
          <w:rPr/>
          <w:delText>F</w:delText>
        </w:r>
      </w:del>
      <w:del w:id="20" w:author="Xie(ZTE)" w:date="2019-01-21T14:58:24Z">
        <w:r>
          <w:rPr>
            <w:vertAlign w:val="subscript"/>
          </w:rPr>
          <w:delText>UL_low</w:delText>
        </w:r>
      </w:del>
      <w:r>
        <w:t xml:space="preserve">  – Δf</w:t>
      </w:r>
      <w:r>
        <w:rPr>
          <w:vertAlign w:val="subscript"/>
        </w:rPr>
        <w:t>OOB</w:t>
      </w:r>
      <w:r>
        <w:t xml:space="preserve">&lt;f &lt; </w:t>
      </w:r>
      <w:ins w:id="21" w:author="Xie(ZTE)" w:date="2019-01-21T14:58:49Z">
        <w:r>
          <w:rPr>
            <w:rFonts w:cs="Arial"/>
          </w:rPr>
          <w:t>F</w:t>
        </w:r>
      </w:ins>
      <w:ins w:id="22" w:author="Xie(ZTE)" w:date="2019-01-21T14:58:49Z">
        <w:r>
          <w:rPr>
            <w:rFonts w:cs="Arial"/>
            <w:vertAlign w:val="subscript"/>
          </w:rPr>
          <w:t>UL,high</w:t>
        </w:r>
      </w:ins>
      <w:del w:id="23" w:author="Xie(ZTE)" w:date="2019-01-21T14:58:49Z">
        <w:r>
          <w:rPr/>
          <w:delText>F</w:delText>
        </w:r>
      </w:del>
      <w:del w:id="24" w:author="Xie(ZTE)" w:date="2019-01-21T14:58:49Z">
        <w:r>
          <w:rPr>
            <w:vertAlign w:val="subscript"/>
          </w:rPr>
          <w:delText>UL_high</w:delText>
        </w:r>
      </w:del>
      <w:r>
        <w:t xml:space="preserve"> + Δf</w:t>
      </w:r>
      <w:r>
        <w:rPr>
          <w:vertAlign w:val="subscript"/>
        </w:rPr>
        <w:t>OOB</w:t>
      </w:r>
    </w:p>
    <w:p>
      <w:pPr>
        <w:rPr>
          <w:lang w:val="en-US" w:eastAsia="zh-CN"/>
        </w:rPr>
      </w:pPr>
      <w:r>
        <w:rPr>
          <w:lang w:val="en-US" w:eastAsia="zh-CN"/>
        </w:rPr>
        <w:t xml:space="preserve">Where: </w:t>
      </w:r>
    </w:p>
    <w:p>
      <w:pPr>
        <w:rPr>
          <w:lang w:val="en-US" w:eastAsia="zh-CN"/>
        </w:rPr>
      </w:pPr>
      <w:r>
        <w:rPr>
          <w:rFonts w:hint="eastAsia"/>
          <w:lang w:val="en-US" w:eastAsia="zh-CN"/>
        </w:rPr>
        <w:t>V</w:t>
      </w:r>
      <w:r>
        <w:rPr>
          <w:lang w:val="en-US" w:eastAsia="zh-CN"/>
        </w:rPr>
        <w:t>alue</w:t>
      </w:r>
      <w:r>
        <w:rPr>
          <w:rFonts w:hint="eastAsia"/>
          <w:lang w:val="en-US" w:eastAsia="zh-CN"/>
        </w:rPr>
        <w:t>s</w:t>
      </w:r>
      <w:r>
        <w:rPr>
          <w:lang w:val="en-US" w:eastAsia="zh-CN"/>
        </w:rPr>
        <w:t xml:space="preserve"> of </w:t>
      </w:r>
      <w:ins w:id="25" w:author="Xie(ZTE)" w:date="2019-01-21T14:58:30Z">
        <w:r>
          <w:rPr/>
          <w:t>F</w:t>
        </w:r>
      </w:ins>
      <w:ins w:id="26" w:author="Xie(ZTE)" w:date="2019-01-21T14:58:30Z">
        <w:r>
          <w:rPr>
            <w:vertAlign w:val="subscript"/>
          </w:rPr>
          <w:t>UL,low</w:t>
        </w:r>
      </w:ins>
      <w:del w:id="27" w:author="Xie(ZTE)" w:date="2019-01-21T14:58:30Z">
        <w:r>
          <w:rPr/>
          <w:delText>F</w:delText>
        </w:r>
      </w:del>
      <w:del w:id="28" w:author="Xie(ZTE)" w:date="2019-01-21T14:58:30Z">
        <w:r>
          <w:rPr>
            <w:vertAlign w:val="subscript"/>
          </w:rPr>
          <w:delText>UL_low</w:delText>
        </w:r>
      </w:del>
      <w:r>
        <w:rPr>
          <w:lang w:val="en-US" w:eastAsia="zh-CN"/>
        </w:rPr>
        <w:t xml:space="preserve"> and </w:t>
      </w:r>
      <w:ins w:id="29" w:author="Xie(ZTE)" w:date="2019-01-21T14:58:56Z">
        <w:r>
          <w:rPr>
            <w:rFonts w:cs="Arial"/>
          </w:rPr>
          <w:t>F</w:t>
        </w:r>
      </w:ins>
      <w:ins w:id="30" w:author="Xie(ZTE)" w:date="2019-01-21T14:58:56Z">
        <w:r>
          <w:rPr>
            <w:rFonts w:cs="Arial"/>
            <w:vertAlign w:val="subscript"/>
          </w:rPr>
          <w:t>UL,high</w:t>
        </w:r>
      </w:ins>
      <w:del w:id="31" w:author="Xie(ZTE)" w:date="2019-01-21T14:58:56Z">
        <w:r>
          <w:rPr/>
          <w:delText>F</w:delText>
        </w:r>
      </w:del>
      <w:del w:id="32" w:author="Xie(ZTE)" w:date="2019-01-21T14:58:56Z">
        <w:r>
          <w:rPr>
            <w:vertAlign w:val="subscript"/>
          </w:rPr>
          <w:delText>UL_high</w:delText>
        </w:r>
      </w:del>
      <w:r>
        <w:rPr>
          <w:lang w:val="en-US" w:eastAsia="zh-CN"/>
        </w:rPr>
        <w:t xml:space="preserve"> are defined for each </w:t>
      </w:r>
      <w:r>
        <w:rPr>
          <w:i/>
          <w:iCs/>
          <w:lang w:val="en-US" w:eastAsia="zh-CN"/>
        </w:rPr>
        <w:t>operating band</w:t>
      </w:r>
      <w:r>
        <w:rPr>
          <w:lang w:val="en-US" w:eastAsia="zh-CN"/>
        </w:rPr>
        <w:t xml:space="preserve"> in TS 38.104 [2]</w:t>
      </w:r>
      <w:r>
        <w:rPr>
          <w:rFonts w:hint="eastAsia"/>
          <w:lang w:val="en-US" w:eastAsia="zh-CN"/>
        </w:rPr>
        <w:t>, subclause 5.2</w:t>
      </w:r>
      <w:r>
        <w:rPr>
          <w:lang w:val="en-US" w:eastAsia="zh-CN"/>
        </w:rPr>
        <w:t>.</w:t>
      </w:r>
    </w:p>
    <w:p>
      <w:pPr>
        <w:rPr>
          <w:lang w:val="en-US" w:eastAsia="zh-CN"/>
        </w:rPr>
      </w:pPr>
      <w:r>
        <w:rPr>
          <w:lang w:val="en-US" w:eastAsia="zh-CN"/>
        </w:rPr>
        <w:t>The value of Δf</w:t>
      </w:r>
      <w:r>
        <w:rPr>
          <w:vertAlign w:val="subscript"/>
          <w:lang w:val="en-US" w:eastAsia="zh-CN"/>
        </w:rPr>
        <w:t>OOB</w:t>
      </w:r>
      <w:r>
        <w:rPr>
          <w:lang w:val="en-US" w:eastAsia="zh-CN"/>
        </w:rPr>
        <w:t xml:space="preserve"> is derived considering the width of the </w:t>
      </w:r>
      <w:r>
        <w:rPr>
          <w:i/>
          <w:iCs/>
          <w:lang w:val="en-US" w:eastAsia="zh-CN"/>
        </w:rPr>
        <w:t>operating band</w:t>
      </w:r>
      <w:r>
        <w:rPr>
          <w:lang w:val="en-US" w:eastAsia="zh-CN"/>
        </w:rPr>
        <w:t xml:space="preserve">, and </w:t>
      </w:r>
      <w:r>
        <w:rPr>
          <w:rFonts w:hint="eastAsia"/>
          <w:lang w:val="en-US" w:eastAsia="zh-CN"/>
        </w:rPr>
        <w:t>is</w:t>
      </w:r>
      <w:r>
        <w:rPr>
          <w:lang w:val="en-US" w:eastAsia="zh-CN"/>
        </w:rPr>
        <w:t xml:space="preserve"> defined in TS 38.104 [2]</w:t>
      </w:r>
      <w:r>
        <w:rPr>
          <w:rFonts w:hint="eastAsia"/>
          <w:lang w:val="en-US" w:eastAsia="zh-CN"/>
        </w:rPr>
        <w:t>, subclause 7.4.2.2</w:t>
      </w:r>
      <w:r>
        <w:rPr>
          <w:lang w:val="en-US" w:eastAsia="zh-CN"/>
        </w:rPr>
        <w:t xml:space="preserve">. </w:t>
      </w:r>
    </w:p>
    <w:p>
      <w:r>
        <w:t xml:space="preserve">For BS capable of multi-band operation, the total </w:t>
      </w:r>
      <w:r>
        <w:rPr>
          <w:i/>
        </w:rPr>
        <w:t>receiver exclusion band</w:t>
      </w:r>
      <w:r>
        <w:t xml:space="preserve"> </w:t>
      </w:r>
      <w:r>
        <w:rPr>
          <w:rFonts w:hint="eastAsia" w:eastAsia="宋体"/>
          <w:lang w:val="en-US" w:eastAsia="zh-CN"/>
        </w:rPr>
        <w:t>is a</w:t>
      </w:r>
      <w:r>
        <w:t xml:space="preserve"> combination of the </w:t>
      </w:r>
      <w:r>
        <w:rPr>
          <w:i/>
        </w:rPr>
        <w:t>exclusion bands</w:t>
      </w:r>
      <w:r>
        <w:t xml:space="preserve"> for each </w:t>
      </w:r>
      <w:r>
        <w:rPr>
          <w:i/>
          <w:iCs/>
        </w:rPr>
        <w:t>operating band</w:t>
      </w:r>
      <w:r>
        <w:t xml:space="preserve"> supported by BS.</w:t>
      </w:r>
    </w:p>
    <w:p>
      <w:pPr>
        <w:pStyle w:val="59"/>
        <w:rPr>
          <w:lang w:val="en-US"/>
        </w:rPr>
      </w:pPr>
      <w:r>
        <w:rPr>
          <w:lang w:eastAsia="en-GB"/>
        </w:rPr>
        <w:t>NOTE</w:t>
      </w:r>
      <w:r>
        <w:rPr>
          <w:rFonts w:hint="eastAsia"/>
          <w:lang w:val="en-US" w:eastAsia="zh-CN"/>
        </w:rPr>
        <w:t xml:space="preserve"> 1</w:t>
      </w:r>
      <w:r>
        <w:rPr>
          <w:lang w:eastAsia="en-GB"/>
        </w:rPr>
        <w:t>:</w:t>
      </w:r>
      <w:r>
        <w:rPr>
          <w:lang w:eastAsia="en-GB"/>
        </w:rPr>
        <w:tab/>
      </w:r>
      <w:r>
        <w:rPr>
          <w:lang w:val="en-US"/>
        </w:rPr>
        <w:t xml:space="preserve">The </w:t>
      </w:r>
      <w:r>
        <w:rPr>
          <w:i/>
          <w:lang w:val="en-US"/>
        </w:rPr>
        <w:t>receiver exclusion bands</w:t>
      </w:r>
      <w:r>
        <w:rPr>
          <w:lang w:val="en-US"/>
        </w:rPr>
        <w:t xml:space="preserve"> do not apply for SDL bands.</w:t>
      </w:r>
    </w:p>
    <w:p>
      <w:pPr>
        <w:pStyle w:val="59"/>
        <w:rPr>
          <w:lang w:val="en-US" w:eastAsia="zh-CN"/>
        </w:rPr>
      </w:pPr>
      <w:r>
        <w:rPr>
          <w:rFonts w:hint="eastAsia"/>
          <w:lang w:val="en-US" w:eastAsia="zh-CN"/>
        </w:rPr>
        <w:t>NOTE 2:</w:t>
      </w:r>
      <w:r>
        <w:rPr>
          <w:rFonts w:hint="eastAsia"/>
          <w:lang w:val="en-US" w:eastAsia="zh-CN"/>
        </w:rPr>
        <w:tab/>
      </w:r>
      <w:r>
        <w:rPr>
          <w:lang w:eastAsia="en-GB"/>
        </w:rPr>
        <w:t xml:space="preserve">As the </w:t>
      </w:r>
      <w:r>
        <w:rPr>
          <w:lang w:val="en-US" w:eastAsia="zh-CN"/>
        </w:rPr>
        <w:t xml:space="preserve">radiated immunity testing is defined in the frequency range </w:t>
      </w:r>
      <w:r>
        <w:rPr>
          <w:rFonts w:hint="eastAsia"/>
          <w:lang w:val="en-US" w:eastAsia="zh-CN"/>
        </w:rPr>
        <w:t>80</w:t>
      </w:r>
      <w:r>
        <w:rPr>
          <w:lang w:val="en-US" w:eastAsia="zh-CN"/>
        </w:rPr>
        <w:t xml:space="preserve"> </w:t>
      </w:r>
      <w:r>
        <w:rPr>
          <w:rFonts w:hint="eastAsia"/>
          <w:lang w:val="en-US" w:eastAsia="zh-CN"/>
        </w:rPr>
        <w:t>MHz to 6</w:t>
      </w:r>
      <w:r>
        <w:rPr>
          <w:lang w:val="en-US" w:eastAsia="zh-CN"/>
        </w:rPr>
        <w:t xml:space="preserve"> </w:t>
      </w:r>
      <w:r>
        <w:rPr>
          <w:rFonts w:hint="eastAsia"/>
          <w:lang w:val="en-US" w:eastAsia="zh-CN"/>
        </w:rPr>
        <w:t>GHz</w:t>
      </w:r>
      <w:r>
        <w:rPr>
          <w:lang w:val="en-US" w:eastAsia="zh-CN"/>
        </w:rPr>
        <w:t xml:space="preserve">, there is no </w:t>
      </w:r>
      <w:r>
        <w:rPr>
          <w:i/>
          <w:lang w:val="en-US" w:eastAsia="zh-CN"/>
        </w:rPr>
        <w:t>receiver exclusion band</w:t>
      </w:r>
      <w:r>
        <w:rPr>
          <w:lang w:val="en-US" w:eastAsia="zh-CN"/>
        </w:rPr>
        <w:t xml:space="preserve"> defined for </w:t>
      </w:r>
      <w:r>
        <w:rPr>
          <w:i/>
          <w:lang w:val="en-US" w:eastAsia="zh-CN"/>
        </w:rPr>
        <w:t>BS type 2-O</w:t>
      </w:r>
      <w:r>
        <w:rPr>
          <w:lang w:val="en-US" w:eastAsia="zh-CN"/>
        </w:rPr>
        <w:t>.</w:t>
      </w:r>
    </w:p>
    <w:p>
      <w:pPr>
        <w:rPr>
          <w:b/>
          <w:color w:val="FF0000"/>
          <w:sz w:val="28"/>
          <w:szCs w:val="28"/>
        </w:rPr>
      </w:pPr>
      <w:r>
        <w:rPr>
          <w:b/>
          <w:color w:val="FF0000"/>
          <w:sz w:val="28"/>
          <w:szCs w:val="28"/>
        </w:rPr>
        <w:t>--------------</w:t>
      </w:r>
      <w:r>
        <w:rPr>
          <w:rFonts w:hint="eastAsia"/>
          <w:b/>
          <w:color w:val="FF0000"/>
          <w:sz w:val="28"/>
          <w:szCs w:val="28"/>
          <w:lang w:val="en-US" w:eastAsia="zh-CN"/>
        </w:rPr>
        <w:t>End</w:t>
      </w:r>
      <w:r>
        <w:rPr>
          <w:b/>
          <w:color w:val="FF0000"/>
          <w:sz w:val="28"/>
          <w:szCs w:val="28"/>
        </w:rPr>
        <w:t xml:space="preserve"> of </w:t>
      </w:r>
      <w:r>
        <w:rPr>
          <w:rFonts w:hint="eastAsia"/>
          <w:b/>
          <w:color w:val="FF0000"/>
          <w:sz w:val="28"/>
          <w:szCs w:val="28"/>
          <w:lang w:val="en-US" w:eastAsia="zh-CN"/>
        </w:rPr>
        <w:t>second</w:t>
      </w:r>
      <w:r>
        <w:rPr>
          <w:b/>
          <w:color w:val="FF0000"/>
          <w:sz w:val="28"/>
          <w:szCs w:val="28"/>
        </w:rPr>
        <w:t xml:space="preserve"> </w:t>
      </w:r>
      <w:r>
        <w:rPr>
          <w:rFonts w:hint="eastAsia"/>
          <w:b/>
          <w:color w:val="FF0000"/>
          <w:sz w:val="28"/>
          <w:szCs w:val="28"/>
          <w:lang w:val="en-US" w:eastAsia="zh-CN"/>
        </w:rPr>
        <w:t xml:space="preserve">change </w:t>
      </w:r>
      <w:r>
        <w:rPr>
          <w:b/>
          <w:color w:val="FF0000"/>
          <w:sz w:val="28"/>
          <w:szCs w:val="28"/>
        </w:rPr>
        <w:t>-------------</w:t>
      </w:r>
    </w:p>
    <w:p>
      <w:pPr>
        <w:rPr>
          <w:b/>
          <w:color w:val="FF0000"/>
          <w:sz w:val="28"/>
          <w:szCs w:val="28"/>
        </w:rPr>
      </w:pPr>
    </w:p>
    <w:p>
      <w:pPr>
        <w:rPr>
          <w:b/>
          <w:color w:val="FF0000"/>
          <w:sz w:val="28"/>
          <w:szCs w:val="28"/>
        </w:rPr>
      </w:pPr>
      <w:r>
        <w:rPr>
          <w:b/>
          <w:color w:val="FF0000"/>
          <w:sz w:val="28"/>
          <w:szCs w:val="28"/>
        </w:rPr>
        <w:t xml:space="preserve">--------------Start of </w:t>
      </w:r>
      <w:r>
        <w:rPr>
          <w:rFonts w:hint="eastAsia"/>
          <w:b/>
          <w:color w:val="FF0000"/>
          <w:sz w:val="28"/>
          <w:szCs w:val="28"/>
          <w:lang w:val="en-US" w:eastAsia="zh-CN"/>
        </w:rPr>
        <w:t>third</w:t>
      </w:r>
      <w:r>
        <w:rPr>
          <w:b/>
          <w:color w:val="FF0000"/>
          <w:sz w:val="28"/>
          <w:szCs w:val="28"/>
        </w:rPr>
        <w:t xml:space="preserve"> </w:t>
      </w:r>
      <w:r>
        <w:rPr>
          <w:rFonts w:hint="eastAsia"/>
          <w:b/>
          <w:color w:val="FF0000"/>
          <w:sz w:val="28"/>
          <w:szCs w:val="28"/>
          <w:lang w:val="en-US" w:eastAsia="zh-CN"/>
        </w:rPr>
        <w:t xml:space="preserve">change </w:t>
      </w:r>
      <w:r>
        <w:rPr>
          <w:b/>
          <w:color w:val="FF0000"/>
          <w:sz w:val="28"/>
          <w:szCs w:val="28"/>
        </w:rPr>
        <w:t>-------------</w:t>
      </w:r>
    </w:p>
    <w:p>
      <w:pPr>
        <w:pStyle w:val="59"/>
        <w:rPr>
          <w:b/>
          <w:color w:val="FF0000"/>
          <w:sz w:val="28"/>
          <w:szCs w:val="28"/>
        </w:rPr>
      </w:pPr>
    </w:p>
    <w:p>
      <w:pPr>
        <w:pStyle w:val="5"/>
        <w:rPr>
          <w:lang w:eastAsia="en-GB"/>
        </w:rPr>
      </w:pPr>
      <w:bookmarkStart w:id="23" w:name="_Toc535249228"/>
      <w:r>
        <w:rPr>
          <w:lang w:eastAsia="en-GB"/>
        </w:rPr>
        <w:t>8.2.1.2</w:t>
      </w:r>
      <w:r>
        <w:rPr>
          <w:lang w:eastAsia="en-GB"/>
        </w:rPr>
        <w:tab/>
      </w:r>
      <w:r>
        <w:rPr>
          <w:lang w:eastAsia="en-GB"/>
        </w:rPr>
        <w:t>Test method</w:t>
      </w:r>
      <w:bookmarkEnd w:id="23"/>
    </w:p>
    <w:p>
      <w:pPr>
        <w:pStyle w:val="63"/>
        <w:rPr>
          <w:lang w:eastAsia="en-GB"/>
        </w:rPr>
      </w:pPr>
      <w:r>
        <w:rPr>
          <w:lang w:eastAsia="en-GB"/>
        </w:rPr>
        <w:t>a)</w:t>
      </w:r>
      <w:r>
        <w:rPr>
          <w:lang w:eastAsia="en-GB"/>
        </w:rPr>
        <w:tab/>
      </w:r>
      <w:r>
        <w:rPr>
          <w:lang w:eastAsia="en-GB"/>
        </w:rPr>
        <w:t>A test site fulfilling the requirements of ITU-R SM. 329 [</w:t>
      </w:r>
      <w:r>
        <w:rPr>
          <w:rFonts w:hint="eastAsia" w:eastAsia="宋体"/>
          <w:lang w:val="en-US" w:eastAsia="zh-CN"/>
        </w:rPr>
        <w:t>24</w:t>
      </w:r>
      <w:r>
        <w:rPr>
          <w:lang w:eastAsia="en-GB"/>
        </w:rPr>
        <w:t xml:space="preserve">] shall be used. The BS shall be placed on a non-conducting support and shall be operated from a power source via a RF filter to avoid radiation from the power leads. </w:t>
      </w:r>
    </w:p>
    <w:p>
      <w:pPr>
        <w:pStyle w:val="63"/>
        <w:rPr>
          <w:lang w:eastAsia="en-GB"/>
        </w:rPr>
      </w:pPr>
      <w:r>
        <w:rPr>
          <w:lang w:eastAsia="en-GB"/>
        </w:rPr>
        <w:tab/>
      </w:r>
      <w:r>
        <w:rPr>
          <w:lang w:eastAsia="en-GB"/>
        </w:rPr>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pPr>
        <w:pStyle w:val="59"/>
        <w:rPr>
          <w:lang w:eastAsia="en-GB"/>
        </w:rPr>
      </w:pPr>
      <w:r>
        <w:rPr>
          <w:lang w:eastAsia="en-GB"/>
        </w:rPr>
        <w:t>NOTE:</w:t>
      </w:r>
      <w:r>
        <w:rPr>
          <w:lang w:eastAsia="en-GB"/>
        </w:rPr>
        <w:tab/>
      </w:r>
      <w:r>
        <w:rPr>
          <w:lang w:eastAsia="en-GB"/>
        </w:rPr>
        <w:t>Effective radiated power (e.r.p.) refers to the radiation of a half wave tuned dipole instead of an isotropic antenna. There is a constant difference of 2.15 dB between e.i.r.p. and e.r.p.</w:t>
      </w:r>
    </w:p>
    <w:p>
      <w:pPr>
        <w:pStyle w:val="73"/>
        <w:jc w:val="center"/>
      </w:pPr>
      <w:r>
        <w:t xml:space="preserve">e.r.p. (dBm) </w:t>
      </w:r>
      <w:r>
        <w:rPr>
          <w:rFonts w:ascii="Symbol" w:hAnsi="Symbol"/>
        </w:rPr>
        <w:t></w:t>
      </w:r>
      <w:r>
        <w:t xml:space="preserve"> e.i.r.p. (dBm) </w:t>
      </w:r>
      <w:r>
        <w:rPr>
          <w:rFonts w:ascii="Symbol" w:hAnsi="Symbol"/>
        </w:rPr>
        <w:t></w:t>
      </w:r>
      <w:r>
        <w:t xml:space="preserve"> 2.15</w:t>
      </w:r>
      <w:r>
        <w:tab/>
      </w:r>
      <w:r>
        <w:t>Ref: ITU-R SM.329 ANNEX 1 [</w:t>
      </w:r>
      <w:r>
        <w:rPr>
          <w:rFonts w:hint="eastAsia" w:eastAsia="宋体"/>
          <w:lang w:val="en-US" w:eastAsia="zh-CN"/>
        </w:rPr>
        <w:t>24</w:t>
      </w:r>
      <w:r>
        <w:t>].</w:t>
      </w:r>
    </w:p>
    <w:p>
      <w:pPr>
        <w:pStyle w:val="63"/>
        <w:rPr>
          <w:lang w:eastAsia="en-GB"/>
        </w:rPr>
      </w:pPr>
      <w:r>
        <w:rPr>
          <w:lang w:eastAsia="en-GB"/>
        </w:rPr>
        <w:t>b)</w:t>
      </w:r>
      <w:r>
        <w:rPr>
          <w:lang w:eastAsia="en-GB"/>
        </w:rPr>
        <w:tab/>
      </w:r>
      <w:r>
        <w:rPr>
          <w:lang w:eastAsia="en-GB"/>
        </w:rPr>
        <w:t>The BS shall transmit with</w:t>
      </w:r>
      <w:r>
        <w:rPr>
          <w:rFonts w:hint="eastAsia" w:eastAsia="宋体"/>
          <w:lang w:val="en-US" w:eastAsia="zh-CN"/>
        </w:rPr>
        <w:t xml:space="preserve"> </w:t>
      </w:r>
      <w:r>
        <w:rPr>
          <w:lang w:eastAsia="en-GB"/>
        </w:rPr>
        <w:t>maximum power declared by the manufacturer with all transmitters active. Set the base station to transmit a signal as stated in subclause 4.5.</w:t>
      </w:r>
    </w:p>
    <w:p>
      <w:pPr>
        <w:pStyle w:val="63"/>
        <w:rPr>
          <w:lang w:eastAsia="en-GB"/>
        </w:rPr>
      </w:pPr>
      <w:r>
        <w:rPr>
          <w:lang w:eastAsia="en-GB"/>
        </w:rPr>
        <w:t>c)</w:t>
      </w:r>
      <w:r>
        <w:rPr>
          <w:lang w:eastAsia="en-GB"/>
        </w:rPr>
        <w:tab/>
      </w:r>
      <w:r>
        <w:rPr>
          <w:lang w:eastAsia="en-GB"/>
        </w:rPr>
        <w:t>The received power shall be measured over the frequency range from 30 MHz to </w:t>
      </w:r>
      <w:ins w:id="33" w:author="Xie(ZTE)" w:date="2019-01-21T14:57:09Z">
        <w:r>
          <w:rPr/>
          <w:t>F</w:t>
        </w:r>
      </w:ins>
      <w:ins w:id="34" w:author="Xie(ZTE)" w:date="2019-01-21T14:57:09Z">
        <w:r>
          <w:rPr>
            <w:vertAlign w:val="subscript"/>
          </w:rPr>
          <w:t>DL,low</w:t>
        </w:r>
      </w:ins>
      <w:del w:id="35" w:author="Xie(ZTE)" w:date="2019-01-21T14:57:09Z">
        <w:r>
          <w:rPr>
            <w:lang w:eastAsia="en-GB"/>
          </w:rPr>
          <w:delText>F</w:delText>
        </w:r>
      </w:del>
      <w:del w:id="36" w:author="Xie(ZTE)" w:date="2019-01-21T14:57:09Z">
        <w:r>
          <w:rPr>
            <w:rFonts w:hint="eastAsia"/>
            <w:vertAlign w:val="subscript"/>
            <w:lang w:val="en-US" w:eastAsia="zh-CN"/>
          </w:rPr>
          <w:delText>D</w:delText>
        </w:r>
      </w:del>
      <w:del w:id="37" w:author="Xie(ZTE)" w:date="2019-01-21T14:57:09Z">
        <w:r>
          <w:rPr>
            <w:vertAlign w:val="subscript"/>
            <w:lang w:eastAsia="en-GB"/>
          </w:rPr>
          <w:delText>L_low</w:delText>
        </w:r>
      </w:del>
      <w:r>
        <w:rPr>
          <w:lang w:eastAsia="en-GB"/>
        </w:rPr>
        <w:t> - Δf</w:t>
      </w:r>
      <w:r>
        <w:rPr>
          <w:rFonts w:hint="eastAsia"/>
          <w:vertAlign w:val="subscript"/>
          <w:lang w:val="en-US" w:eastAsia="zh-CN"/>
        </w:rPr>
        <w:t>OBUE</w:t>
      </w:r>
      <w:r>
        <w:rPr>
          <w:lang w:eastAsia="en-GB"/>
        </w:rPr>
        <w:t xml:space="preserve"> and from </w:t>
      </w:r>
      <w:ins w:id="38" w:author="Xie(ZTE)" w:date="2019-01-21T14:57:43Z">
        <w:r>
          <w:rPr/>
          <w:t>F</w:t>
        </w:r>
      </w:ins>
      <w:ins w:id="39" w:author="Xie(ZTE)" w:date="2019-01-21T14:57:43Z">
        <w:r>
          <w:rPr>
            <w:vertAlign w:val="subscript"/>
          </w:rPr>
          <w:t>DL,high</w:t>
        </w:r>
      </w:ins>
      <w:del w:id="40" w:author="Xie(ZTE)" w:date="2019-01-21T14:57:43Z">
        <w:r>
          <w:rPr>
            <w:lang w:eastAsia="en-GB"/>
          </w:rPr>
          <w:delText>F</w:delText>
        </w:r>
      </w:del>
      <w:del w:id="41" w:author="Xie(ZTE)" w:date="2019-01-21T14:57:43Z">
        <w:r>
          <w:rPr>
            <w:rFonts w:hint="eastAsia"/>
            <w:vertAlign w:val="subscript"/>
            <w:lang w:val="en-US" w:eastAsia="zh-CN"/>
          </w:rPr>
          <w:delText>D</w:delText>
        </w:r>
      </w:del>
      <w:del w:id="42" w:author="Xie(ZTE)" w:date="2019-01-21T14:57:43Z">
        <w:r>
          <w:rPr>
            <w:vertAlign w:val="subscript"/>
            <w:lang w:eastAsia="en-GB"/>
          </w:rPr>
          <w:delText>L_high</w:delText>
        </w:r>
      </w:del>
      <w:r>
        <w:rPr>
          <w:lang w:eastAsia="en-GB"/>
        </w:rPr>
        <w:t> + Δf</w:t>
      </w:r>
      <w:r>
        <w:rPr>
          <w:vertAlign w:val="subscript"/>
          <w:lang w:eastAsia="en-GB"/>
        </w:rPr>
        <w:t>O</w:t>
      </w:r>
      <w:r>
        <w:rPr>
          <w:rFonts w:hint="eastAsia"/>
          <w:vertAlign w:val="subscript"/>
          <w:lang w:val="en-US" w:eastAsia="zh-CN"/>
        </w:rPr>
        <w:t>BUE</w:t>
      </w:r>
      <w:r>
        <w:rPr>
          <w:lang w:eastAsia="en-GB"/>
        </w:rPr>
        <w:t> up to 12750 MH</w:t>
      </w:r>
      <w:r>
        <w:rPr>
          <w:rFonts w:hint="eastAsia"/>
          <w:lang w:val="en-US" w:eastAsia="zh-CN"/>
        </w:rPr>
        <w:t xml:space="preserve">z. </w:t>
      </w:r>
      <w:r>
        <w:rPr>
          <w:lang w:eastAsia="en-GB"/>
        </w:rPr>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pPr>
        <w:pStyle w:val="5"/>
        <w:rPr>
          <w:lang w:eastAsia="en-GB"/>
        </w:rPr>
      </w:pPr>
      <w:bookmarkStart w:id="24" w:name="_Toc535249229"/>
      <w:r>
        <w:rPr>
          <w:lang w:eastAsia="en-GB"/>
        </w:rPr>
        <w:t>8.2.1.</w:t>
      </w:r>
      <w:r>
        <w:rPr>
          <w:lang w:val="en-US" w:eastAsia="en-GB"/>
        </w:rPr>
        <w:t>3</w:t>
      </w:r>
      <w:r>
        <w:rPr>
          <w:lang w:eastAsia="en-GB"/>
        </w:rPr>
        <w:tab/>
      </w:r>
      <w:r>
        <w:rPr>
          <w:lang w:val="en-US" w:eastAsia="en-GB"/>
        </w:rPr>
        <w:t>Limits</w:t>
      </w:r>
      <w:bookmarkEnd w:id="24"/>
    </w:p>
    <w:p>
      <w:pPr>
        <w:rPr>
          <w:lang w:eastAsia="en-GB"/>
        </w:rPr>
      </w:pPr>
      <w:r>
        <w:rPr>
          <w:lang w:eastAsia="en-GB"/>
        </w:rPr>
        <w:t>The frequency boundary and reference bandwidths for the detailed transitions of the limits between the requirements for out of band emissions and spurious emissions are based on ITU-R Recommendations SM.329 [</w:t>
      </w:r>
      <w:r>
        <w:rPr>
          <w:lang w:val="en-US" w:eastAsia="zh-CN"/>
        </w:rPr>
        <w:t>24</w:t>
      </w:r>
      <w:r>
        <w:rPr>
          <w:lang w:eastAsia="en-GB"/>
        </w:rPr>
        <w:t>] and SM.1539 [</w:t>
      </w:r>
      <w:r>
        <w:rPr>
          <w:lang w:val="en-US" w:eastAsia="zh-CN"/>
        </w:rPr>
        <w:t>26</w:t>
      </w:r>
      <w:r>
        <w:rPr>
          <w:lang w:eastAsia="en-GB"/>
        </w:rPr>
        <w:t>].</w:t>
      </w:r>
    </w:p>
    <w:p>
      <w:pPr>
        <w:rPr>
          <w:rFonts w:cs="v4.2.0"/>
          <w:lang w:eastAsia="en-GB"/>
        </w:rPr>
      </w:pPr>
      <w:r>
        <w:rPr>
          <w:rFonts w:cs="v4.2.0"/>
          <w:lang w:eastAsia="en-GB"/>
        </w:rPr>
        <w:t xml:space="preserve">The </w:t>
      </w:r>
      <w:r>
        <w:rPr>
          <w:rFonts w:cs="v4.2.0"/>
          <w:i/>
          <w:iCs/>
          <w:lang w:val="en-US" w:eastAsia="zh-CN"/>
        </w:rPr>
        <w:t>BS type 1-C</w:t>
      </w:r>
      <w:r>
        <w:rPr>
          <w:rFonts w:cs="v4.2.0"/>
          <w:lang w:val="en-US" w:eastAsia="zh-CN"/>
        </w:rPr>
        <w:t xml:space="preserve"> and </w:t>
      </w:r>
      <w:r>
        <w:rPr>
          <w:rFonts w:cs="v4.2.0"/>
          <w:i/>
          <w:iCs/>
          <w:lang w:val="en-US" w:eastAsia="zh-CN"/>
        </w:rPr>
        <w:t>BS type 1-H</w:t>
      </w:r>
      <w:r>
        <w:rPr>
          <w:rFonts w:cs="v4.2.0"/>
          <w:i/>
          <w:iCs/>
          <w:lang w:eastAsia="en-GB"/>
        </w:rPr>
        <w:t xml:space="preserve"> </w:t>
      </w:r>
      <w:r>
        <w:rPr>
          <w:rFonts w:cs="v4.2.0"/>
          <w:lang w:eastAsia="en-GB"/>
        </w:rPr>
        <w:t>shall meet the limits below:</w:t>
      </w:r>
    </w:p>
    <w:p>
      <w:pPr>
        <w:pStyle w:val="61"/>
        <w:rPr>
          <w:lang w:eastAsia="en-GB"/>
        </w:rPr>
      </w:pPr>
      <w:r>
        <w:rPr>
          <w:lang w:eastAsia="en-GB"/>
        </w:rPr>
        <w:t xml:space="preserve">Table 8.2.1.3-1: Limits for radiated emissions from BS </w:t>
      </w:r>
    </w:p>
    <w:tbl>
      <w:tblPr>
        <w:tblStyle w:val="47"/>
        <w:tblW w:w="96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330"/>
        <w:gridCol w:w="5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181" w:hRule="atLeast"/>
          <w:jc w:val="center"/>
        </w:trPr>
        <w:tc>
          <w:tcPr>
            <w:tcW w:w="4330" w:type="dxa"/>
            <w:vAlign w:val="top"/>
          </w:tcPr>
          <w:p>
            <w:pPr>
              <w:pStyle w:val="71"/>
              <w:rPr>
                <w:lang w:eastAsia="en-GB"/>
              </w:rPr>
            </w:pPr>
            <w:r>
              <w:rPr>
                <w:lang w:eastAsia="en-GB"/>
              </w:rPr>
              <w:t>Frequency range</w:t>
            </w:r>
          </w:p>
        </w:tc>
        <w:tc>
          <w:tcPr>
            <w:tcW w:w="5367" w:type="dxa"/>
            <w:vAlign w:val="top"/>
          </w:tcPr>
          <w:p>
            <w:pPr>
              <w:pStyle w:val="71"/>
              <w:rPr>
                <w:b w:val="0"/>
                <w:bCs/>
                <w:szCs w:val="18"/>
                <w:lang w:eastAsia="en-GB"/>
              </w:rPr>
            </w:pPr>
            <w:r>
              <w:rPr>
                <w:szCs w:val="18"/>
                <w:lang w:eastAsia="en-GB"/>
              </w:rPr>
              <w:t>Minimum requirement (e.r.p.) / Reference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4330" w:type="dxa"/>
            <w:vAlign w:val="top"/>
          </w:tcPr>
          <w:p>
            <w:pPr>
              <w:pStyle w:val="54"/>
              <w:rPr>
                <w:lang w:eastAsia="en-GB"/>
              </w:rPr>
            </w:pPr>
            <w:r>
              <w:rPr>
                <w:lang w:eastAsia="en-GB"/>
              </w:rPr>
              <w:t xml:space="preserve">30 MHz </w:t>
            </w:r>
            <w:r>
              <w:rPr>
                <w:lang w:eastAsia="en-GB"/>
              </w:rPr>
              <w:sym w:font="Symbol" w:char="F0A3"/>
            </w:r>
            <w:r>
              <w:rPr>
                <w:lang w:eastAsia="en-GB"/>
              </w:rPr>
              <w:t xml:space="preserve"> f &lt; 1000 MHz</w:t>
            </w:r>
          </w:p>
        </w:tc>
        <w:tc>
          <w:tcPr>
            <w:tcW w:w="5367" w:type="dxa"/>
            <w:vAlign w:val="top"/>
          </w:tcPr>
          <w:p>
            <w:pPr>
              <w:pStyle w:val="54"/>
              <w:rPr>
                <w:lang w:eastAsia="en-GB"/>
              </w:rPr>
            </w:pPr>
            <w:r>
              <w:rPr>
                <w:lang w:eastAsia="en-GB"/>
              </w:rPr>
              <w:t>-36 dBm/ 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4330" w:type="dxa"/>
            <w:vAlign w:val="top"/>
          </w:tcPr>
          <w:p>
            <w:pPr>
              <w:pStyle w:val="54"/>
              <w:rPr>
                <w:lang w:eastAsia="en-GB"/>
              </w:rPr>
            </w:pPr>
            <w:r>
              <w:rPr>
                <w:lang w:eastAsia="en-GB"/>
              </w:rPr>
              <w:t xml:space="preserve">1 GHz </w:t>
            </w:r>
            <w:r>
              <w:rPr>
                <w:lang w:eastAsia="en-GB"/>
              </w:rPr>
              <w:sym w:font="Symbol" w:char="F0A3"/>
            </w:r>
            <w:r>
              <w:rPr>
                <w:lang w:eastAsia="en-GB"/>
              </w:rPr>
              <w:t xml:space="preserve"> f &lt; 12.75 GHz</w:t>
            </w:r>
          </w:p>
        </w:tc>
        <w:tc>
          <w:tcPr>
            <w:tcW w:w="5367" w:type="dxa"/>
            <w:vAlign w:val="top"/>
          </w:tcPr>
          <w:p>
            <w:pPr>
              <w:pStyle w:val="54"/>
              <w:rPr>
                <w:lang w:eastAsia="en-GB"/>
              </w:rPr>
            </w:pPr>
            <w:r>
              <w:rPr>
                <w:lang w:eastAsia="en-GB"/>
              </w:rPr>
              <w:t>-30 dBm/ 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4330" w:type="dxa"/>
            <w:vAlign w:val="top"/>
          </w:tcPr>
          <w:p>
            <w:pPr>
              <w:pStyle w:val="54"/>
              <w:rPr>
                <w:lang w:eastAsia="en-GB"/>
              </w:rPr>
            </w:pPr>
            <w:ins w:id="43" w:author="Xie(ZTE)" w:date="2019-01-21T14:57:20Z">
              <w:r>
                <w:rPr/>
                <w:t>F</w:t>
              </w:r>
            </w:ins>
            <w:ins w:id="44" w:author="Xie(ZTE)" w:date="2019-01-21T14:57:20Z">
              <w:r>
                <w:rPr>
                  <w:vertAlign w:val="subscript"/>
                </w:rPr>
                <w:t>DL,low</w:t>
              </w:r>
            </w:ins>
            <w:del w:id="45" w:author="Xie(ZTE)" w:date="2019-01-21T14:57:20Z">
              <w:r>
                <w:rPr/>
                <w:delText>F</w:delText>
              </w:r>
            </w:del>
            <w:del w:id="46" w:author="Xie(ZTE)" w:date="2019-01-21T14:57:20Z">
              <w:r>
                <w:rPr>
                  <w:vertAlign w:val="subscript"/>
                </w:rPr>
                <w:delText>DL_low</w:delText>
              </w:r>
            </w:del>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ins w:id="47" w:author="Xie(ZTE)" w:date="2019-01-21T14:57:37Z">
              <w:r>
                <w:rPr/>
                <w:t>F</w:t>
              </w:r>
            </w:ins>
            <w:ins w:id="48" w:author="Xie(ZTE)" w:date="2019-01-21T14:57:37Z">
              <w:r>
                <w:rPr>
                  <w:vertAlign w:val="subscript"/>
                </w:rPr>
                <w:t>DL,high</w:t>
              </w:r>
            </w:ins>
            <w:del w:id="49" w:author="Xie(ZTE)" w:date="2019-01-21T14:57:37Z">
              <w:r>
                <w:rPr/>
                <w:delText>F</w:delText>
              </w:r>
            </w:del>
            <w:del w:id="50" w:author="Xie(ZTE)" w:date="2019-01-21T14:57:37Z">
              <w:r>
                <w:rPr>
                  <w:vertAlign w:val="subscript"/>
                </w:rPr>
                <w:delText>DL_high</w:delText>
              </w:r>
            </w:del>
            <w:r>
              <w:t xml:space="preserve">  </w:t>
            </w:r>
            <w:r>
              <w:rPr>
                <w:lang w:eastAsia="en-GB"/>
              </w:rPr>
              <w:t>+</w:t>
            </w:r>
            <w:r>
              <w:t>Δf</w:t>
            </w:r>
            <w:r>
              <w:rPr>
                <w:rFonts w:hint="eastAsia"/>
                <w:vertAlign w:val="subscript"/>
                <w:lang w:val="en-US" w:eastAsia="zh-CN"/>
              </w:rPr>
              <w:t>OBUE</w:t>
            </w:r>
            <w:r>
              <w:rPr>
                <w:lang w:val="en-US" w:eastAsia="zh-CN"/>
              </w:rPr>
              <w:t xml:space="preserve"> </w:t>
            </w:r>
            <w:r>
              <w:rPr>
                <w:lang w:eastAsia="en-GB"/>
              </w:rPr>
              <w:t xml:space="preserve"> </w:t>
            </w:r>
          </w:p>
          <w:p>
            <w:pPr>
              <w:pStyle w:val="54"/>
              <w:rPr>
                <w:lang w:eastAsia="en-GB"/>
              </w:rPr>
            </w:pPr>
            <w:r>
              <w:rPr>
                <w:lang w:eastAsia="en-GB"/>
              </w:rPr>
              <w:t>(Note 1, Note 2)</w:t>
            </w:r>
            <w:r>
              <w:rPr>
                <w:lang w:val="en-US" w:eastAsia="zh-CN"/>
              </w:rPr>
              <w:t>]</w:t>
            </w:r>
          </w:p>
        </w:tc>
        <w:tc>
          <w:tcPr>
            <w:tcW w:w="5367" w:type="dxa"/>
            <w:vAlign w:val="top"/>
          </w:tcPr>
          <w:p>
            <w:pPr>
              <w:pStyle w:val="54"/>
              <w:rPr>
                <w:lang w:eastAsia="en-GB"/>
              </w:rPr>
            </w:pPr>
            <w:r>
              <w:rPr>
                <w:lang w:eastAsia="en-GB"/>
              </w:rPr>
              <w:t>Not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9697" w:type="dxa"/>
            <w:gridSpan w:val="2"/>
            <w:vAlign w:val="top"/>
          </w:tcPr>
          <w:p>
            <w:pPr>
              <w:pStyle w:val="68"/>
              <w:rPr>
                <w:lang w:eastAsia="en-GB"/>
              </w:rPr>
            </w:pPr>
            <w:r>
              <w:rPr>
                <w:lang w:eastAsia="en-GB"/>
              </w:rPr>
              <w:t>NOTE 1:</w:t>
            </w:r>
            <w:r>
              <w:rPr>
                <w:lang w:eastAsia="en-GB"/>
              </w:rPr>
              <w:tab/>
            </w:r>
            <w:r>
              <w:rPr>
                <w:lang w:eastAsia="en-GB"/>
              </w:rPr>
              <w:t xml:space="preserve">For BS capable of multi-band operation, the frequency ranges relating to the RF bandwidths of all supported </w:t>
            </w:r>
            <w:r>
              <w:rPr>
                <w:rFonts w:hint="eastAsia" w:eastAsia="宋体"/>
                <w:i/>
                <w:iCs/>
                <w:lang w:val="en-US" w:eastAsia="zh-CN"/>
              </w:rPr>
              <w:t xml:space="preserve">operating </w:t>
            </w:r>
            <w:r>
              <w:rPr>
                <w:i/>
                <w:iCs/>
                <w:lang w:eastAsia="en-GB"/>
              </w:rPr>
              <w:t>bands</w:t>
            </w:r>
            <w:r>
              <w:rPr>
                <w:lang w:eastAsia="en-GB"/>
              </w:rPr>
              <w:t xml:space="preserve"> apply.</w:t>
            </w:r>
          </w:p>
          <w:p>
            <w:pPr>
              <w:pStyle w:val="68"/>
              <w:rPr>
                <w:rFonts w:cs="v4.2.0"/>
                <w:szCs w:val="18"/>
                <w:lang w:eastAsia="en-GB"/>
              </w:rPr>
            </w:pPr>
            <w:r>
              <w:rPr>
                <w:lang w:eastAsia="en-GB"/>
              </w:rPr>
              <w:t>NOTE 2:</w:t>
            </w:r>
            <w:r>
              <w:rPr>
                <w:lang w:eastAsia="en-GB"/>
              </w:rPr>
              <w:tab/>
            </w:r>
            <w:r>
              <w:t>Δf</w:t>
            </w:r>
            <w:r>
              <w:rPr>
                <w:rFonts w:hint="eastAsia"/>
                <w:vertAlign w:val="subscript"/>
                <w:lang w:val="en-US" w:eastAsia="zh-CN"/>
              </w:rPr>
              <w:t>OBUE</w:t>
            </w:r>
            <w:r>
              <w:rPr>
                <w:lang w:val="en-US" w:eastAsia="zh-CN"/>
              </w:rPr>
              <w:t xml:space="preserve"> is</w:t>
            </w:r>
            <w:r>
              <w:rPr>
                <w:lang w:eastAsia="en-GB"/>
              </w:rPr>
              <w:t xml:space="preserve"> defined in </w:t>
            </w:r>
            <w:r>
              <w:rPr>
                <w:rFonts w:hint="eastAsia" w:eastAsia="宋体"/>
                <w:lang w:val="en-US" w:eastAsia="zh-CN"/>
              </w:rPr>
              <w:t>subclause</w:t>
            </w:r>
            <w:r>
              <w:rPr>
                <w:lang w:eastAsia="en-GB"/>
              </w:rPr>
              <w:t xml:space="preserve"> 6.6.1 of TS 38</w:t>
            </w:r>
            <w:r>
              <w:rPr>
                <w:rFonts w:hint="eastAsia"/>
                <w:lang w:val="en-US" w:eastAsia="zh-CN"/>
              </w:rPr>
              <w:t>.</w:t>
            </w:r>
            <w:r>
              <w:rPr>
                <w:lang w:eastAsia="en-GB"/>
              </w:rPr>
              <w:t xml:space="preserve">104 </w:t>
            </w:r>
            <w:r>
              <w:rPr>
                <w:rFonts w:hint="eastAsia"/>
                <w:lang w:val="en-US" w:eastAsia="zh-CN"/>
              </w:rPr>
              <w:t>[2]</w:t>
            </w:r>
          </w:p>
        </w:tc>
      </w:tr>
    </w:tbl>
    <w:p>
      <w:pPr>
        <w:rPr>
          <w:lang w:eastAsia="en-GB"/>
        </w:rPr>
      </w:pPr>
    </w:p>
    <w:p>
      <w:pPr>
        <w:pStyle w:val="59"/>
      </w:pPr>
      <w:r>
        <w:rPr>
          <w:b/>
          <w:color w:val="FF0000"/>
          <w:sz w:val="28"/>
          <w:szCs w:val="28"/>
        </w:rPr>
        <w:t xml:space="preserve">-------------End of </w:t>
      </w:r>
      <w:r>
        <w:rPr>
          <w:rFonts w:hint="eastAsia"/>
          <w:b/>
          <w:color w:val="FF0000"/>
          <w:sz w:val="28"/>
          <w:szCs w:val="28"/>
          <w:lang w:val="en-US" w:eastAsia="zh-CN"/>
        </w:rPr>
        <w:t xml:space="preserve">change </w:t>
      </w:r>
      <w:r>
        <w:rPr>
          <w:b/>
          <w:color w:val="FF0000"/>
          <w:sz w:val="28"/>
          <w:szCs w:val="28"/>
        </w:rPr>
        <w: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40001" w:csb1="00000000"/>
  </w:font>
  <w:font w:name="v4.2.0">
    <w:altName w:val="Times New Roman"/>
    <w:panose1 w:val="00000000000000000000"/>
    <w:charset w:val="00"/>
    <w:family w:val="auto"/>
    <w:pitch w:val="default"/>
    <w:sig w:usb0="00000000" w:usb1="00000000" w:usb2="00000000" w:usb3="00000000" w:csb0="00040001" w:csb1="00000000"/>
  </w:font>
  <w:font w:name="Arial">
    <w:panose1 w:val="020B0604020202020204"/>
    <w:charset w:val="00"/>
    <w:family w:val="roman"/>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e(ZTE)">
    <w15:presenceInfo w15:providerId="None" w15:userId="Xie(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bordersDoNotSurroundHeader w:val="0"/>
  <w:bordersDoNotSurroundFooter w:val="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D49"/>
    <w:rsid w:val="000A6394"/>
    <w:rsid w:val="000C038A"/>
    <w:rsid w:val="000C6598"/>
    <w:rsid w:val="00107586"/>
    <w:rsid w:val="00145D43"/>
    <w:rsid w:val="00192C46"/>
    <w:rsid w:val="001A7B60"/>
    <w:rsid w:val="001B7A65"/>
    <w:rsid w:val="001E41F3"/>
    <w:rsid w:val="0026004D"/>
    <w:rsid w:val="00275D12"/>
    <w:rsid w:val="002860C4"/>
    <w:rsid w:val="002A01CC"/>
    <w:rsid w:val="002B5741"/>
    <w:rsid w:val="00305409"/>
    <w:rsid w:val="003E1A36"/>
    <w:rsid w:val="004242F1"/>
    <w:rsid w:val="004B75B7"/>
    <w:rsid w:val="0051580D"/>
    <w:rsid w:val="00592D74"/>
    <w:rsid w:val="005E2C44"/>
    <w:rsid w:val="00621188"/>
    <w:rsid w:val="006257ED"/>
    <w:rsid w:val="00695808"/>
    <w:rsid w:val="006B46FB"/>
    <w:rsid w:val="006E21FB"/>
    <w:rsid w:val="00723513"/>
    <w:rsid w:val="00792342"/>
    <w:rsid w:val="007B512A"/>
    <w:rsid w:val="007C2097"/>
    <w:rsid w:val="007C5F8A"/>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D279D"/>
    <w:rsid w:val="00BD6BB8"/>
    <w:rsid w:val="00C95985"/>
    <w:rsid w:val="00CC5026"/>
    <w:rsid w:val="00D03F9A"/>
    <w:rsid w:val="00DE34CF"/>
    <w:rsid w:val="00EE7D7C"/>
    <w:rsid w:val="00F25D98"/>
    <w:rsid w:val="00F300FB"/>
    <w:rsid w:val="00FB6386"/>
    <w:rsid w:val="02550384"/>
    <w:rsid w:val="02616BF6"/>
    <w:rsid w:val="030E4FD5"/>
    <w:rsid w:val="03A33019"/>
    <w:rsid w:val="04984461"/>
    <w:rsid w:val="065034E0"/>
    <w:rsid w:val="06D21681"/>
    <w:rsid w:val="071904FA"/>
    <w:rsid w:val="080B6A23"/>
    <w:rsid w:val="087E415B"/>
    <w:rsid w:val="08B6224F"/>
    <w:rsid w:val="0A44327C"/>
    <w:rsid w:val="0A9043E4"/>
    <w:rsid w:val="0B0B1E69"/>
    <w:rsid w:val="0B243AC7"/>
    <w:rsid w:val="0DB16C7D"/>
    <w:rsid w:val="0E81201E"/>
    <w:rsid w:val="0F847B71"/>
    <w:rsid w:val="104C3BB9"/>
    <w:rsid w:val="12A34FCB"/>
    <w:rsid w:val="12CB4506"/>
    <w:rsid w:val="15516894"/>
    <w:rsid w:val="22890A5F"/>
    <w:rsid w:val="22A21242"/>
    <w:rsid w:val="244E42A3"/>
    <w:rsid w:val="24AA4087"/>
    <w:rsid w:val="25D50EE4"/>
    <w:rsid w:val="29060B6F"/>
    <w:rsid w:val="29525484"/>
    <w:rsid w:val="29F4070C"/>
    <w:rsid w:val="2B58295D"/>
    <w:rsid w:val="2EA71936"/>
    <w:rsid w:val="2FA1270F"/>
    <w:rsid w:val="35D850E1"/>
    <w:rsid w:val="36F953AB"/>
    <w:rsid w:val="392D23C3"/>
    <w:rsid w:val="3AC14878"/>
    <w:rsid w:val="3E36289E"/>
    <w:rsid w:val="45714432"/>
    <w:rsid w:val="49270F4A"/>
    <w:rsid w:val="4C153A14"/>
    <w:rsid w:val="4F4062A6"/>
    <w:rsid w:val="50681AA0"/>
    <w:rsid w:val="51EA5792"/>
    <w:rsid w:val="53C446F6"/>
    <w:rsid w:val="53CF691B"/>
    <w:rsid w:val="571B5B61"/>
    <w:rsid w:val="57FC0FE1"/>
    <w:rsid w:val="59CD495F"/>
    <w:rsid w:val="5C526C07"/>
    <w:rsid w:val="5D0F046E"/>
    <w:rsid w:val="60523976"/>
    <w:rsid w:val="60EB665B"/>
    <w:rsid w:val="61F17199"/>
    <w:rsid w:val="66EE4C17"/>
    <w:rsid w:val="6A100EEE"/>
    <w:rsid w:val="6A644E23"/>
    <w:rsid w:val="6AB245F1"/>
    <w:rsid w:val="6B71347E"/>
    <w:rsid w:val="6CB36258"/>
    <w:rsid w:val="6DA44BB6"/>
    <w:rsid w:val="6E7C31EE"/>
    <w:rsid w:val="6EC24025"/>
    <w:rsid w:val="71423024"/>
    <w:rsid w:val="735E0307"/>
    <w:rsid w:val="78D36F63"/>
    <w:rsid w:val="7A71702D"/>
    <w:rsid w:val="7C134890"/>
    <w:rsid w:val="7DFF1FAE"/>
    <w:rsid w:val="7FD8463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pPr>
    <w:rPr>
      <w:sz w:val="32"/>
    </w:rPr>
  </w:style>
  <w:style w:type="paragraph" w:styleId="4">
    <w:name w:val="heading 3"/>
    <w:basedOn w:val="3"/>
    <w:next w:val="1"/>
    <w:qFormat/>
    <w:uiPriority w:val="0"/>
    <w:pPr>
      <w:spacing w:before="120"/>
    </w:pPr>
    <w:rPr>
      <w:sz w:val="28"/>
    </w:rPr>
  </w:style>
  <w:style w:type="paragraph" w:styleId="5">
    <w:name w:val="heading 4"/>
    <w:basedOn w:val="4"/>
    <w:next w:val="1"/>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2">
    <w:name w:val="Default Paragraph Font"/>
    <w:semiHidden/>
    <w:qFormat/>
    <w:uiPriority w:val="0"/>
  </w:style>
  <w:style w:type="table" w:default="1" w:styleId="47">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4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0">
    <w:name w:val="FP"/>
    <w:basedOn w:val="1"/>
    <w:qFormat/>
    <w:uiPriority w:val="0"/>
    <w:pPr>
      <w:spacing w:after="0"/>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B3"/>
    <w:basedOn w:val="12"/>
    <w:qFormat/>
    <w:uiPriority w:val="0"/>
  </w:style>
  <w:style w:type="paragraph" w:customStyle="1" w:styleId="53">
    <w:name w:val="B2"/>
    <w:basedOn w:val="13"/>
    <w:qFormat/>
    <w:uiPriority w:val="0"/>
  </w:style>
  <w:style w:type="paragraph" w:customStyle="1" w:styleId="54">
    <w:name w:val="TAC"/>
    <w:basedOn w:val="51"/>
    <w:qFormat/>
    <w:uiPriority w:val="0"/>
    <w:pPr>
      <w:jc w:val="center"/>
    </w:pPr>
  </w:style>
  <w:style w:type="paragraph" w:customStyle="1" w:styleId="55">
    <w:name w:val="TT"/>
    <w:basedOn w:val="2"/>
    <w:next w:val="1"/>
    <w:qFormat/>
    <w:uiPriority w:val="0"/>
    <w:pPr>
      <w:outlineLvl w:val="9"/>
    </w:pPr>
  </w:style>
  <w:style w:type="paragraph" w:customStyle="1" w:styleId="56">
    <w:name w:val="ZTD"/>
    <w:basedOn w:val="57"/>
    <w:qFormat/>
    <w:uiPriority w:val="0"/>
    <w:pPr>
      <w:framePr w:hRule="auto" w:y="852"/>
    </w:pPr>
    <w:rPr>
      <w:i w:val="0"/>
      <w:sz w:val="40"/>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qFormat/>
    <w:uiPriority w:val="0"/>
    <w:pPr>
      <w:keepLines/>
      <w:ind w:left="1135" w:hanging="851"/>
    </w:p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1">
    <w:name w:val="TH"/>
    <w:basedOn w:val="1"/>
    <w:qFormat/>
    <w:uiPriority w:val="0"/>
    <w:pPr>
      <w:keepNext/>
      <w:keepLines/>
      <w:spacing w:before="60"/>
      <w:jc w:val="center"/>
    </w:pPr>
    <w:rPr>
      <w:rFonts w:ascii="Arial" w:hAnsi="Arial"/>
      <w:b/>
    </w:rPr>
  </w:style>
  <w:style w:type="paragraph" w:customStyle="1" w:styleId="6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3">
    <w:name w:val="B1"/>
    <w:basedOn w:val="14"/>
    <w:qFormat/>
    <w:uiPriority w:val="0"/>
  </w:style>
  <w:style w:type="paragraph" w:customStyle="1" w:styleId="64">
    <w:name w:val="TF"/>
    <w:basedOn w:val="61"/>
    <w:qFormat/>
    <w:uiPriority w:val="0"/>
    <w:pPr>
      <w:keepNext w:val="0"/>
      <w:keepLines/>
      <w:spacing w:before="0" w:after="240"/>
    </w:pPr>
  </w:style>
  <w:style w:type="paragraph" w:customStyle="1" w:styleId="6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NW"/>
    <w:basedOn w:val="59"/>
    <w:qFormat/>
    <w:uiPriority w:val="0"/>
    <w:pPr>
      <w:spacing w:after="0"/>
    </w:pPr>
  </w:style>
  <w:style w:type="paragraph" w:customStyle="1" w:styleId="67">
    <w:name w:val="B4"/>
    <w:basedOn w:val="38"/>
    <w:qFormat/>
    <w:uiPriority w:val="0"/>
  </w:style>
  <w:style w:type="paragraph" w:customStyle="1" w:styleId="68">
    <w:name w:val="TAN"/>
    <w:basedOn w:val="51"/>
    <w:qFormat/>
    <w:uiPriority w:val="0"/>
    <w:pPr>
      <w:ind w:left="851" w:hanging="851"/>
    </w:pPr>
  </w:style>
  <w:style w:type="paragraph" w:customStyle="1" w:styleId="69">
    <w:name w:val="EX"/>
    <w:basedOn w:val="1"/>
    <w:qFormat/>
    <w:uiPriority w:val="0"/>
    <w:pPr>
      <w:keepLines/>
      <w:ind w:left="1702" w:hanging="1418"/>
    </w:pPr>
  </w:style>
  <w:style w:type="paragraph" w:customStyle="1" w:styleId="70">
    <w:name w:val="B5"/>
    <w:basedOn w:val="37"/>
    <w:qFormat/>
    <w:uiPriority w:val="0"/>
  </w:style>
  <w:style w:type="paragraph" w:customStyle="1" w:styleId="71">
    <w:name w:val="TAH"/>
    <w:basedOn w:val="54"/>
    <w:qFormat/>
    <w:uiPriority w:val="0"/>
    <w:rPr>
      <w:b/>
    </w:rPr>
  </w:style>
  <w:style w:type="paragraph" w:customStyle="1" w:styleId="72">
    <w:name w:val="EW"/>
    <w:basedOn w:val="69"/>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Editor's Note"/>
    <w:basedOn w:val="59"/>
    <w:qFormat/>
    <w:uiPriority w:val="0"/>
    <w:rPr>
      <w:color w:val="FF0000"/>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7">
    <w:name w:val="tdoc-header"/>
    <w:qFormat/>
    <w:uiPriority w:val="0"/>
    <w:rPr>
      <w:rFonts w:ascii="Arial" w:hAnsi="Arial" w:eastAsia="宋体" w:cs="Times New Roman"/>
      <w:sz w:val="24"/>
      <w:lang w:val="en-GB" w:eastAsia="en-US" w:bidi="ar-SA"/>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ZV"/>
    <w:basedOn w:val="62"/>
    <w:qFormat/>
    <w:uiPriority w:val="0"/>
    <w:pPr>
      <w:framePr w:y="16161"/>
    </w:pPr>
  </w:style>
  <w:style w:type="paragraph" w:customStyle="1" w:styleId="8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1">
    <w:name w:val="TAR"/>
    <w:basedOn w:val="51"/>
    <w:qFormat/>
    <w:uiPriority w:val="0"/>
    <w:pPr>
      <w:jc w:val="right"/>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character" w:customStyle="1" w:styleId="83">
    <w:name w:val="ZGSM"/>
    <w:qFormat/>
    <w:uiPriority w:val="0"/>
  </w:style>
  <w:style w:type="paragraph" w:customStyle="1" w:styleId="84">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449</Words>
  <Characters>2560</Characters>
  <Lines>21</Lines>
  <Paragraphs>6</Paragraphs>
  <TotalTime>2</TotalTime>
  <ScaleCrop>false</ScaleCrop>
  <LinksUpToDate>false</LinksUpToDate>
  <CharactersWithSpaces>3003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2017-01-09T15:59:00Z</dcterms:created>
  <dc:creator>Michael Sanders, John M Meredith</dc:creator>
  <cp:lastModifiedBy>RZ ZTE</cp:lastModifiedBy>
  <dcterms:modified xsi:type="dcterms:W3CDTF">2019-02-15T03:55:27Z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